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NW_27113 (Nordrhein-Westfalen)</w:t>
      </w:r>
    </w:p>
    <w:p>
      <w:r>
        <w:rPr>
          <w:color w:val="555555"/>
          <w:sz w:val="18"/>
        </w:rPr>
        <w:t xml:space="preserve">Verordnung zur Bestimmung der zur amtlichen Beglaubigung befugten 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April 1977</w:t>
      </w:r>
    </w:p>
    <w:p>
      <w:r>
        <w:t xml:space="preserve">Aufgrund des § 33 Abs. 1 Satz 2 und des § 34 Abs. 1 Satz 1 Verwaltungsverfahrensgesetz für das Land Nordrhein-Westfalen vom 21. Dezember 1976 (GV. NW. S. 438) wird verordnet:</w:t>
      </w:r>
    </w:p>
    <w:p>
      <w:r>
        <w:rPr>
          <w:color w:val="555555"/>
          <w:sz w:val="17"/>
        </w:rPr>
        <w:t xml:space="preserve">Zitiervorschlag: Volltext NW_27113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