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NW_27113 (Nordrhein-Westfalen) — Inkrafttreten</w:t>
      </w:r>
    </w:p>
    <w:p>
      <w:r>
        <w:rPr>
          <w:color w:val="555555"/>
          <w:sz w:val="18"/>
        </w:rPr>
        <w:t xml:space="preserve">Verordnung zur Bestimmung der zur amtlichen Beglaubigung befugten 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NW_27113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