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NW_27113 (Nordrhein-Westfalen) — Befugnis zur amtlichen Beglaubigung</w:t>
      </w:r>
    </w:p>
    <w:p>
      <w:r>
        <w:rPr>
          <w:color w:val="555555"/>
          <w:sz w:val="18"/>
        </w:rPr>
        <w:t xml:space="preserve">Verordnung zur Bestimmung der zur amtlichen Beglaubigung befugten 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amtlichen Beglaubigung nach § 33 Abs. 1 Satz 2 und Abs. 4 sowie nach § 34 Abs. 1 Satz 1 und Abs. 4 des Verwaltungsverfahrensgesetzes für das Land Nordrhein-Westfalen sind die in § 1 Abs. 1 des Gesetzes bezeichneten Behörden befugt.</w:t>
      </w:r>
    </w:p>
    <w:p>
      <w:r>
        <w:rPr>
          <w:color w:val="555555"/>
          <w:sz w:val="17"/>
        </w:rPr>
        <w:t xml:space="preserve">Zitiervorschlag: § 1 NW_27113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