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NW_27104 (Nordrhein-Westfalen)</w:t>
      </w:r>
    </w:p>
    <w:p>
      <w:r>
        <w:rPr>
          <w:color w:val="555555"/>
          <w:sz w:val="18"/>
        </w:rPr>
        <w:t xml:space="preserve">Gesetz über das Amt eines Parlamentarischen Staatssekretärs für besondere Regierungsaufgaben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der Verkündung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Der Ministerpräsident</w:t>
      </w:r>
    </w:p>
    <w:p>
      <w:r>
        <w:t xml:space="preserve">Der Finanzminister</w:t>
      </w:r>
    </w:p>
    <w:p>
      <w:r>
        <w:t xml:space="preserve">Der Innenminister</w:t>
      </w:r>
    </w:p>
    <w:p>
      <w:r>
        <w:rPr>
          <w:color w:val="555555"/>
          <w:sz w:val="17"/>
        </w:rPr>
        <w:t xml:space="preserve">Zitiervorschlag: § 9 NW_27104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https://recht.nulegal.eu/gesetze/NW_27104/9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