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NW_27104 (Nordrhein-Westfalen)</w:t>
      </w:r>
    </w:p>
    <w:p>
      <w:r>
        <w:rPr>
          <w:color w:val="555555"/>
          <w:sz w:val="18"/>
        </w:rPr>
        <w:t xml:space="preserve">Gesetz über das Amt eines Parlamentarischen Staatssekretärs für besondere Regierungsaufgaben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Landesminister geltenden Vorschriften des Artikels 64 Abs. 2, Abs. 3 Sätze 1 und 2, Abs. 4 der Landesverfassung sowie der §§ 3 bis 4 d und 15 bis 18 des Landesministergesetzes sind auf den Parlamentarischen Staatssekretär entsprechend anzuwenden; § 4 a Absatz 1 des Landesministergesetzes jedoch mit der Maßgabe, dass an die Stelle der Landesregierung das zuständige Mitglied der Landesregierung tritt. Bei der Anwendung des Artikels 64 Abs. 2 und 3 der Landesverfassung entscheidet der Ministerpräsident.</w:t>
      </w:r>
    </w:p>
    <w:p>
      <w:r>
        <w:rPr>
          <w:color w:val="555555"/>
          <w:sz w:val="17"/>
        </w:rPr>
        <w:t xml:space="preserve">Zitiervorschlag: § 7 NW_27104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https://recht.nulegal.eu/gesetze/NW_27104/7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