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Parlamentarische Staatssekretär erhält vom Beginn des Kalendermonats an, in dem das Amtsverhältnis beginnt, bis zum Ende des Kalendermonats, in dem das Amtsverhältnis endet, Amtsbezüge. § 7 des Landesministergesetzes ist mit der Maßgabe entsprechend anzuwenden, daß sich das Amtsgehalt und der Familienzuschlag nach der Besoldungsgruppe B 10 der Besoldungsordnung B des Landesbesoldungsrechts bemißt und die Dienstaufwandsentschädigung 205 Euro monatlich beträgt.</w:t>
      </w:r>
    </w:p>
    <w:p>
      <w:r>
        <w:t xml:space="preserve">(2) Der Parlamentarische Staatssekretär erhält Reisekosten und Umzugskostenentschädigung in entsprechender Anwendung des § 8 des Landesministergesetzes.</w:t>
      </w:r>
    </w:p>
    <w:p>
      <w:r>
        <w:rPr>
          <w:color w:val="555555"/>
          <w:sz w:val="17"/>
        </w:rPr>
        <w:t xml:space="preserve">Zitiervorschlag: § 5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