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NW_27104 (Nordrhein-Westfalen)</w:t>
      </w:r>
    </w:p>
    <w:p>
      <w:r>
        <w:rPr>
          <w:color w:val="555555"/>
          <w:sz w:val="18"/>
        </w:rPr>
        <w:t xml:space="preserve">Gesetz über das Amt eines Parlamentarischen Staatssekretärs für besondere Regierungsaufgaben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Parlamentarische Staatssekretär kann jederzeit entlassen werden oder seine Entlassung verlangen. § 2 Satz 1 gilt entsprechend. Die Entlassung wird mit Aushändigung oder Zustellung der Urkunde wirksam.</w:t>
      </w:r>
    </w:p>
    <w:p>
      <w:r>
        <w:t xml:space="preserve">(2) Das Amtsverhältnis des Parlamentarischen Staatssekretärs endet ferner mit seinem Ausscheiden aus dem Landtag. Im übrigen endet es mit dem Ende des Amtsverhältnisses des Ministerpräsidenten, im Falle des Artikels 62 Abs. 3 der Landesverfassung mit dem Ende der Amtsführung des Ministerpräsidenten. Über die Beendigung erhält er eine Urkunde.</w:t>
      </w:r>
    </w:p>
    <w:p>
      <w:r>
        <w:rPr>
          <w:color w:val="555555"/>
          <w:sz w:val="17"/>
        </w:rPr>
        <w:t xml:space="preserve">Zitiervorschlag: § 4 NW_27104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https://recht.nulegal.eu/gesetze/NW_27104/4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