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NW_27102 (Nordrhein-Westfalen)</w:t>
      </w:r>
    </w:p>
    <w:p>
      <w:r>
        <w:rPr>
          <w:color w:val="555555"/>
          <w:sz w:val="18"/>
        </w:rPr>
        <w:t xml:space="preserve">Fn 5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Aufgaben</w:t>
      </w:r>
    </w:p>
    <w:p>
      <w:r>
        <w:t xml:space="preserve">a) der Stelle, an die die Empfangsstelle ein Auskunftsersuchen weiterleitet, das sich auf Landesrecht oder auf Bundesrecht und Landesrecht bezieht,</w:t>
      </w:r>
    </w:p>
    <w:p>
      <w:r>
        <w:t xml:space="preserve">b) der Übermittlungsstelle im Sinne von Artikel 2 Abs. 2 des Übereinkommens</w:t>
      </w:r>
    </w:p>
    <w:p>
      <w:r>
        <w:t xml:space="preserve">nimmt das Justizministerium wahr.</w:t>
      </w:r>
    </w:p>
    <w:p>
      <w:r>
        <w:rPr>
          <w:color w:val="555555"/>
          <w:sz w:val="17"/>
        </w:rPr>
        <w:t xml:space="preserve">Zitiervorschlag: § 1 NW_27102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https://recht.nulegal.eu/gesetze/NW_27102/1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