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NW_27089 (Nordrhein-Westfalen) — Schiedsklausel</w:t>
      </w:r>
    </w:p>
    <w:p>
      <w:r>
        <w:rPr>
          <w:color w:val="555555"/>
          <w:sz w:val="18"/>
        </w:rPr>
        <w:t xml:space="preserve">Bekanntmachung des Abkommens über die Errichtung und Finanzierung der Akademie für öffentliches Gesundheitswesen in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Streitigkeiten aus diesem Abkommen werden durch ein Schiedsgericht entschieden. Es gilt der als Anlage beigefügte Schiedsvertrag.</w:t>
      </w:r>
    </w:p>
    <w:p>
      <w:r>
        <w:rPr>
          <w:color w:val="555555"/>
          <w:sz w:val="17"/>
        </w:rPr>
        <w:t xml:space="preserve">Zitiervorschlag: Art 9 NW_27089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