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NW_27088 (Nordrhein-Westfalen) — Vollversammlung</w:t>
      </w:r>
    </w:p>
    <w:p>
      <w:r>
        <w:rPr>
          <w:color w:val="555555"/>
          <w:sz w:val="18"/>
        </w:rPr>
        <w:t xml:space="preserve">Gesetz über die Nordrhein-Westfälische Akademie der Wissenschaften und der Künste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Stimmberechtigt in der Vollversammlung der Akademie sind die ordentlichen Mitglieder der Klassen und die Mitglieder des Kuratoriums, die nicht Mitglieder der Akademie sind.</w:t>
      </w:r>
    </w:p>
    <w:p>
      <w:r>
        <w:t xml:space="preserve">(2) Die Vollversammlung beschließt die Satzung der Akademie und deren Änderungen. Die Satzung wird im Ministerialblatt für das Land Nordrhein-Westfalen veröffentlicht.</w:t>
      </w:r>
    </w:p>
    <w:p>
      <w:r>
        <w:t xml:space="preserve">(3) Die Vollversammlung wählt:</w:t>
      </w:r>
    </w:p>
    <w:p>
      <w:r>
        <w:t xml:space="preserve">1. die Präsidentin oder den Präsidenten der Akademie (§ 8 Abs. 2),</w:t>
      </w:r>
    </w:p>
    <w:p>
      <w:r>
        <w:t xml:space="preserve">2. die Ehrenmitglieder (§ 4 Abs. 1).</w:t>
      </w:r>
    </w:p>
    <w:p>
      <w:r>
        <w:t xml:space="preserve">(4) Die Vollversammlung gibt sich eine Geschäftsordnung.</w:t>
      </w:r>
    </w:p>
    <w:p>
      <w:r>
        <w:rPr>
          <w:color w:val="555555"/>
          <w:sz w:val="17"/>
        </w:rPr>
        <w:t xml:space="preserve">Zitiervorschlag: § 6 NW_27088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