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NW_27088 (Nordrhein-Westfalen) — Überleitung</w:t>
      </w:r>
    </w:p>
    <w:p>
      <w:r>
        <w:rPr>
          <w:color w:val="555555"/>
          <w:sz w:val="18"/>
        </w:rPr>
        <w:t xml:space="preserve">Gesetz über die Nordrhein-Westfälische Akademie der Wissenschaften und der Künste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bei Inkrafttreten dieses Gesetzes der Arbeitsgemeinschaft für Forschung des Landes Nordrhein-Westfalen angehörenden ordentlichen und korrespondierenden wissenschaftlichen Mitglieder werden ordentliche und korrespondierende Mitglieder der Akademie.</w:t>
      </w:r>
    </w:p>
    <w:p>
      <w:r>
        <w:t xml:space="preserve">(2) Die bei Inkrafttreten dieses Gesetzes der Arbeitsgemeinschaft für Forschung des Landes Nordrhein-Westfalen angehörenden Ehrenmitglieder werden Ehrenmitglieder der Akademie.</w:t>
      </w:r>
    </w:p>
    <w:p>
      <w:r>
        <w:rPr>
          <w:color w:val="555555"/>
          <w:sz w:val="17"/>
        </w:rPr>
        <w:t xml:space="preserve">Zitiervorschlag: § 11 NW_27088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https://recht.nulegal.eu/gesetze/NW_27088/11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