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NW_27077 (Nordrhein-Westfalen) — Nahverkehrsplan</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kreisfreien Städte und die landesweite Anstalt stellen zur Sicherung und zur Verbesserung des ÖPNV jeweils einen Nahverkehrsplan auf. Dieser soll die öffentlichen Ver-kehrsinteressen des Nahverkehrs konkretisieren und den mittel- bis langfristig angestrebten Anteil des ÖPNV am Gesamtverkehr (modal split) benennen. Bei der Aufstellung sind vorhandene Verkehrsstrukturen und die Ziele der Raumordnung und Landesplanung sowie das SPNV-Grundangebot nach § 7 Absatz 3 zu beachten. Die Belange des Klima- und Umweltschutzes, des Rad- und Fußverkehrs, der Barrierefreiheit im Sinne des § 2 Absatz 8, des Städtebaus und der Quartiersentwicklung sowie die Vorgaben des ÖPNV-Bedarfsplans und des ÖPNV-Infrastrukturfinanzierungsplans sind zu berücksichtigen. In den Städten Aachen, Bielefeld, Bochum, Bonn, Bottrop, Dortmund, Duisburg, Düsseldorf, Essen, Gelsenkirchen, Gütersloh, Hagen, Hamm, Herne, Köln, Krefeld, Leverkusen, Mönchengladbach, Mülheim an der Ruhr, Münster, Neuss, Oberhausen, Paderborn, Recklinghausen, Siegen, Solingen und Wuppertal ist der Nahverkehrsplan der Stadt oder der das jeweilige Stadtgebiet betreffende Teil des Nahverkehrsplans des jeweiligen Kreises als Teil eines Plans für nachhaltige urbane Mobilität (sustainable urban mobility plan, SUMP) anzulegen.</w:t>
      </w:r>
    </w:p>
    <w:p>
      <w:r>
        <w:t xml:space="preserve">(2) Die Nahverkehrsplanung der landesweiten Anstalt für den SPNV ist bei der sonstigen Nahverkehrsplanung zu beachten.</w:t>
      </w:r>
    </w:p>
    <w:p>
      <w:r>
        <w:t xml:space="preserve">(3) In den Nahverkehrsplänen sind auf der Grundlage der vorhandenen und geplanten Siedlungs- und Verkehrsstrukturen sowie einer Prognose der zu erwartenden Verkehrsentwicklung Ziele und Rahmenvorgaben für das betriebliche Leistungsangebot und seine Finanzierung sowie die Investitionsplanung festzulegen. Der Rahmen für das betriebliche Leistungsangebot hat die für die Abstimmung der Verkehrsleistungen des ÖPNV notwendigen Mindestanforderungen für Betriebszeiten, Zugfolgen und Anschlussbeziehungen an wichtigen Verknüpfungspunkten einschließlich Vorgaben zur Anschlusssicherung für die angemessene Verkehrsbedienung nach § 2 Absatz 3 Satz 1 und den Qualifikationsstandard des eingesetzten Personals darzustellen sowie die Ausrüstungsstandards der im ÖPNV eingesetzten Fahr-zeuge und die Entlohnung des eingesetzten Personals bei den Verkehrsunternehmen nach Maßgabe einschlägiger und repräsentativer Tarifverträge vorzugeben. Bei den Aussagen zur Investitionsplanung ist der voraussichtliche Finanzbedarf anzugeben. Die Nahverkehrspläne haben darüber hinaus die Struktur und Fortentwicklung der gemeinschaftlichen Beförderungsentgelte und -bedingungen zu enthalten.</w:t>
      </w:r>
    </w:p>
    <w:p>
      <w:r>
        <w:rPr>
          <w:color w:val="555555"/>
          <w:sz w:val="17"/>
        </w:rPr>
        <w:t xml:space="preserve">Zitiervorschlag: § 8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