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NW_27077 (Nordrhein-Westfalen) — Überörtliche Zusammenschlüsse, Koordination</w:t>
      </w:r>
    </w:p>
    <w:p>
      <w:r>
        <w:rPr>
          <w:color w:val="555555"/>
          <w:sz w:val="18"/>
        </w:rPr>
        <w:t xml:space="preserve">ÖPNVG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gemeinsamen Aufgabenwahrnehmung bilden die Kreise und kreisfreien Städte oder die bisher bestehenden Zweckverbände jeweils einen Zweckverband oder eine gemeinsame Anstalt gemäß § 5a in den folgenden Kooperationsräumen:</w:t>
      </w:r>
    </w:p>
    <w:p>
      <w:r>
        <w:t xml:space="preserve">a) Städte Bochum, Bottrop, Dortmund, Düsseldorf, Duisburg, Essen, Gelsenkirchen, Hagen, Herne, Krefeld, Mönchengladbach, Mülheim a. d. Ruhr, Oberhausen, Remscheid, Solingen und Wuppertal sowie Kreise Ennepe-Ruhr-Kreis, Kleve, Mettmann, Recklinghausen, Rhein-Kreis Neuss, Viersen und Wesel</w:t>
      </w:r>
    </w:p>
    <w:p>
      <w:r>
        <w:t xml:space="preserve">b) Städte Bonn, Köln und Leverkusen, Städteregion Aachen sowie Kreise Düren, Euskirchen, Heinsberg, Oberbergischer Kreis, Rhein-Erft-Kreis, Rhein-Sieg-Kreis und Rheinisch-Bergischer Kreis</w:t>
      </w:r>
    </w:p>
    <w:p>
      <w:r>
        <w:t xml:space="preserve">c) Städte Bielefeld, Hamm, Münster sowie Kreise Borken, Coesfeld, Gütersloh, Herford, Hochsauerlandkreis, Höxter, Lippe, Märkischer Kreis, Minden-Lübbecke, Olpe, Paderborn, Siegen-Wittgenstein, Soest, Steinfurt, Unna und Warendorf.</w:t>
      </w:r>
    </w:p>
    <w:p>
      <w:r>
        <w:t xml:space="preserve">Die Ausgestaltung der Organisationsstrukturen im jeweiligen Kooperationsraum erfolgt durch die Mitglieder des Zweckverbands oder der gemeinsamen Anstalt. Die für den Zweckverband nach Satz 1 geltenden Regelungen dieses Gesetzes gelten für die gemeinsame Anstalt entsprechend.</w:t>
      </w:r>
    </w:p>
    <w:p>
      <w:r>
        <w:t xml:space="preserve">(1a) Die Beteiligten können vereinbaren, dass das Vermögen der bisher bestehenden Zweckverbände mit der Bekanntmachung der Verbandssatzung der nach Absatz 1 gebildeten neuen Zweckverbände unmittelbar auf diese neuen Zweckverbände oder die gemeinsame Anstalt übergeht.</w:t>
      </w:r>
    </w:p>
    <w:p>
      <w:r>
        <w:t xml:space="preserve">(2) Die Rechtsverhältnisse des Zweckverbandes werden im Rahmen dieses Gesetzes und des Gesetzes über kommunale Gemeinschaftsarbeit durch Verbandssatzung geregelt.</w:t>
      </w:r>
    </w:p>
    <w:p>
      <w:r>
        <w:t xml:space="preserve">(3) Dem Zweckverband ist die Entscheidung über die Planung, Organisation und Ausgestaltung des SPNV zu übertragen. Ihm kann darüber hinaus im Einvernehmen mit den betroffenen Aufgabenträgern nach § 3 Absatz 1 die Entscheidung über die Planung, Organisation und Ausgestaltung regionaler Schnellbusverkehre übertragen werden. Er hat in Abstimmung mit seinen Mitgliedern auf eine integrierte Verkehrsgestaltung im ÖPNV hinzuwirken, insbesondere auf die Bildung eines einheitlichen Gemeinschaftstarifs, auf die Bildung kooperationsraumübergreifender Tarife mit dem Ziel eines landesweiten Tarifs, auf ein koordiniertes Verkehrsangebot im ÖPNV und einheitliche Beförderungsbedingungen, Produkt- und Qualitätsstandards, kompatible, auch die Digitalisierungstechnik nutzende Fahrgastinformations- und Betriebssysteme und ein übergreifendes Marketing. Er hat darüber hinaus auf eine Ausgestaltung angemessener Kundenrechte durch Aufnahme von entsprechenden Regelungen in die Tarifbestimmungen des Gemeinschaftstarifs hinzuwirken.</w:t>
      </w:r>
    </w:p>
    <w:p>
      <w:r>
        <w:t xml:space="preserve">(3a) Die Aufgabenträger nach § 3 Abs. 1 können weitere Aufgaben auf den Zweckverband nach § 5 Abs. 1 übertragen; die Möglichkeit der Übertragung des straßengebundenen ÖPNV durch die Aufgabenträger auf die bisherigen Zweckverbände bleibt unberührt.</w:t>
      </w:r>
    </w:p>
    <w:p>
      <w:r>
        <w:t xml:space="preserve">(4) Durch öffentlich-rechtliche Vereinbarung oder durch allgemeine Regelung des Zweckverbandes ist sicherzustellen, daß Entscheidungen des Zweckverbandes, die sich nur im Gebiet eines Zweckverbandsmitglieds unmittelbar auswirken, mit dessen Einvernehmen erfolgen.</w:t>
      </w:r>
    </w:p>
    <w:p>
      <w:r>
        <w:t xml:space="preserve">(5) Ist in einem Kooperationsraum ein den Anforderungen dieses Gesetzes entsprechender Zweckverband nicht vorhanden, so kann die Bezirksregierung den Aufgabenträgern eine angemessene Frist zum Abschluss von Vereinbarungen über die Bildung eines Zweckverbandes setzen.</w:t>
      </w:r>
    </w:p>
    <w:p>
      <w:r>
        <w:t xml:space="preserve">(6) Kommen die Vereinbarungen innerhalb einer Frist nicht zustande, so kann die Bezirksregierung die erforderlichen Anordnungen treffen und die Verbandssatzung erlassen.</w:t>
      </w:r>
    </w:p>
    <w:p>
      <w:r>
        <w:rPr>
          <w:color w:val="555555"/>
          <w:sz w:val="17"/>
        </w:rPr>
        <w:t xml:space="preserve">Zitiervorschlag: § 5 NW_27077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https://recht.nulegal.eu/gesetze/NW_27077/5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