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NW_27077 (Nordrhein-Westfalen) — Inkrafttreten</w:t>
      </w:r>
    </w:p>
    <w:p>
      <w:r>
        <w:rPr>
          <w:color w:val="555555"/>
          <w:sz w:val="18"/>
        </w:rPr>
        <w:t xml:space="preserve">ÖPNVG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§§ 1, 2, 5, 7 und 16 treten am Tage nach der Verkündung dieses Gesetzes in Kraft.</w:t>
      </w:r>
    </w:p>
    <w:p>
      <w:r>
        <w:t xml:space="preserve">(2) Die §§ 3, 4, 6, 8, 9, 10 Abs. 1 Nr. 1 und 5, § 10 Abs. 2 bis 4, §§ 11 und 14 Abs. 2, §§ 15 und 17 treten am 1. 1. 1996 in Kraft.</w:t>
      </w:r>
    </w:p>
    <w:p>
      <w:r>
        <w:t xml:space="preserve">(3) § 10 Abs. 1 Nr. 2 bis 4 sowie §§ 12, 13 und 14 Abs. 1 treten am 1. 1. 1997 in Kraft.</w:t>
      </w:r>
    </w:p>
    <w:p>
      <w:r>
        <w:rPr>
          <w:color w:val="555555"/>
          <w:sz w:val="17"/>
        </w:rPr>
        <w:t xml:space="preserve">Zitiervorschlag: § 17 NW_27077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https://recht.nulegal.eu/gesetze/NW_27077/17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