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NW_27077 (Nordrhein-Westfalen) — Investitionsmaßnahmen im besonderen Landesinteresse</w:t>
      </w:r>
    </w:p>
    <w:p>
      <w:r>
        <w:rPr>
          <w:color w:val="555555"/>
          <w:sz w:val="18"/>
        </w:rPr>
        <w:t xml:space="preserve">ÖPNVG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gewährt aus den Mitteln nach dem GVFG, dem Entflechtungsgesetz sowie weiteren Mitteln Zuwendungen für Investitionsmaßnahmen im besonderen Landesinteresse. Investitionsmaßnahmen im besonderen Landesinteresse sind</w:t>
      </w:r>
    </w:p>
    <w:p>
      <w:r>
        <w:t xml:space="preserve">1. ÖPNV-Infrastrukturmaßnahmen des GVFG-Bundesprogramms,</w:t>
      </w:r>
    </w:p>
    <w:p>
      <w:r>
        <w:t xml:space="preserve">2. SPNV-Infrastrukturmaßnahmen an Großbahnhöfen,</w:t>
      </w:r>
    </w:p>
    <w:p>
      <w:r>
        <w:t xml:space="preserve">3. Investitionsmaßnahmen zum Erhalt und zur Erneuerung der Infrastrukturen von Stadt- und Straßenbahnen sowie dem SPNV dienenden Infrastrukturen öffentlicher nichtbundeseigener Eisenbahnen,</w:t>
      </w:r>
    </w:p>
    <w:p>
      <w:r>
        <w:t xml:space="preserve">4. Investitionsmaßnahmen zur Reaktivierung von Schienenstrecken sowie zur Elektrifizierung vorhandener Schienenstrecken für den SPNV,</w:t>
      </w:r>
    </w:p>
    <w:p>
      <w:r>
        <w:t xml:space="preserve">5. Investitionsmaßnahmen zur barrierefreien Gestaltung von (Stadt-, Straßenbahn- und Bus-)Haltestellen und von vorhandenen Fahrzeugen des ÖPNV mit Ausnahme des SPNV,</w:t>
      </w:r>
    </w:p>
    <w:p>
      <w:r>
        <w:t xml:space="preserve">6. Investitionsmaßnahmen zur Errichtung der für den Betrieb von batterieelektrisch und wasserstoffbetriebenen Linienbussen des ÖPNV notwendigen Ladeinfrastruktur und zur Beschaffung erforderlicher spezifischer Werkstatteinrichtungen,“</w:t>
      </w:r>
    </w:p>
    <w:p>
      <w:r>
        <w:t xml:space="preserve">7. Investitionsmaßnahmen, durch die neue Technologien im ÖPNV erprobt werden sollen, sowie</w:t>
      </w:r>
    </w:p>
    <w:p>
      <w:r>
        <w:t xml:space="preserve">8. ÖPNV-Investitionsmaßnahmen, für die das besondere Landesinteresse im Einzelfall vom für das Verkehrswesen zuständigen Ministerium im Einvernehmen mit dem Verkehrsausschuss des Landtags festgestellt wurde.</w:t>
      </w:r>
    </w:p>
    <w:p>
      <w:r>
        <w:t xml:space="preserve">Zuwendungsempfänger können Kreise, Städte und Gemeinden, öffentliche und private Verkehrsunternehmen, Eisenbahnunternehmen sowie juristische Personen des privaten Rechts, die Zwecke des ÖPNV verfolgen, sein.</w:t>
      </w:r>
    </w:p>
    <w:p>
      <w:r>
        <w:t xml:space="preserve">(2) Investitionen in Schienenwege und Stationen der Eisenbahnen des Bundes sind vorrangig aus Mitteln nach dem Bundesschienenwegeausbaugesetz vom 15. November 1993 (BGBl. I S. 1874) in der jeweils geltenden Fassung zu finanzieren. Diese Maßnahmen können vom Land nach Anhörung der jeweils betroffenen Zweckverbände nach § 5 Absatz 1 und der landesweiten Anstalt ergänzend gefördert werden. Die vom Land gewährte ergänzende Förderung wird auf die Förderung nach § 12 angerechnet, soweit es sich nicht um Maßnahmen handelt, die nach Absatz 1 gefördert werden.</w:t>
      </w:r>
    </w:p>
    <w:p>
      <w:r>
        <w:rPr>
          <w:color w:val="555555"/>
          <w:sz w:val="17"/>
        </w:rPr>
        <w:t xml:space="preserve">Zitiervorschlag: § 13 NW_27077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