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NW_27077 (Nordrhein-Westfalen) — Pauschalierte Investitionsförderung</w:t>
      </w:r>
    </w:p>
    <w:p>
      <w:r>
        <w:rPr>
          <w:color w:val="555555"/>
          <w:sz w:val="18"/>
        </w:rPr>
        <w:t xml:space="preserve">ÖPNVG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den Zweckverbänden aus den Mitteln nach dem Regionalisierungsgesetz des Bundes, nach dem Entflechtungsgesetz sowie ab dem Jahr 2020 aus Landesmitteln in entsprechender Höhe pauschalierte Zuwendungen für Investitionsmaßnahmen des ÖPNV in einer Gesamthöhe von jährlich mindestens 150 Millionen Euro.</w:t>
      </w:r>
    </w:p>
    <w:p>
      <w:r>
        <w:t xml:space="preserve">(2) Von der Gesamtförderung gemäß Absatz 1 erhalten der Zweckverband gemäß § 5 Absatz 1 Buchstabe a 53,345 vom Hundert, der Zweckverband gemäß § 5 Absatz 1 Buchstabe b 29,951 vom Hundert und der Zweckverband gemäß § 5 Absatz 1 Buchstabe c 16,704 vom Hundert.</w:t>
      </w:r>
    </w:p>
    <w:p>
      <w:r>
        <w:t xml:space="preserve">(3) Die Zuwendung ist zur Förderung von Investitionen des ÖPNV, insbesondere in die Infrastruktur, zu verwenden oder hierfür an Eisenbahnunternehmen, öffentliche oder private Verkehrsunternehmen, Gemeinden und Gemeindeverbände sowie juristische Personen des privaten Rechts, die Zwecke des ÖPNV verfolgen, weiterzuleiten. Bei der Verwendung der Mittel nach dem Entflechtungsgesetz und dem Nachweis ihrer Verwendung sind die bundesrechtlichen Vorgaben zu beachten. Mit der Zuwendung dürfen grundsätzlich höchstens 90 vom Hundert der zuwendungsfähigen Ausgaben der jeweiligen Investitionsmaßnahme gefördert werden. Ausnahmen hiervon können in den Verwaltungsvorschriften nach § 10 Absatz 4 geregelt werden. Mindestens 50 vom Hundert der Mittel sind für solche Investitionsmaßnahmen zu verwenden, die nicht dem SPNV dienen. Die Förderung des streckenbezogenen Aus- und Neubaus von Schieneninfrastrukturen mit zuwendungsfähigen Ausgaben von mehr als fünf Millionen Euro darf aus den Mitteln nur dann bewilligt werden, wenn die Maßnahme Bestandteil des ÖPNV-Bedarfsplans gemäß § 7 Absatz 1 ist.</w:t>
      </w:r>
    </w:p>
    <w:p>
      <w:r>
        <w:t xml:space="preserve">(4) Auf den Anteil des jeweiligen Zweckverbandes an der Förderung werden die am 1. Januar des jeweiligen Jahres bestehenden Verpflichtungen</w:t>
      </w:r>
    </w:p>
    <w:p>
      <w:r>
        <w:t xml:space="preserve">1. für die ergänzende Förderung gemäß § 13 Abs. 2 Satz 3 sowie</w:t>
      </w:r>
    </w:p>
    <w:p>
      <w:r>
        <w:t xml:space="preserve">2. für die Infrastrukturmaßnahmen, deren Förderung das Land vor dem 1. Januar 2008 bewilligt oder vereinbart hat,</w:t>
      </w:r>
    </w:p>
    <w:p>
      <w:r>
        <w:t xml:space="preserve">angerechnet. Eine Anrechnung erfolgt nicht, soweit es sich um Maßnahmen handelt, die nach § 13 Abs. 1 gefördert werden.</w:t>
      </w:r>
    </w:p>
    <w:p>
      <w:r>
        <w:t xml:space="preserve">(5) Die Zweckverbände haben einen jährlichen Katalog der mit den Mitteln zu fördernden Maßnahmen durch Beschluss der Zweckverbandsversammlung festzulegen und der Bewilligungsbehörde anzuzeigen.</w:t>
      </w:r>
    </w:p>
    <w:p>
      <w:r>
        <w:t xml:space="preserve">(6) Nicht verausgabte sowie unabhängig vom Zeitpunkt ihrer Gewährung zurück erhaltene Mittel dürfen bis zu 18 Monate nach Ablauf des Kalenderjahres, in dem die Mittel nicht verausgabt wurden oder zurückgeflossen sind, zur Förderung von Maßnahmen im Sinne des Absatzes 3 verwendet werden. Danach nicht verausgabte Mittel sind dem Land zu erstatten. Als Nachweis der Verwendung der Förderung haben die Zweckverbände bis zum 15. August des Folgejahres eine Bestätigung über den ordnungsgemäßen Mitteleinsatz sowie eine Übersicht hierüber vorzulegen. Für die Regionalisierungsmittel des Bundes ist über den Nachweis nach Satz 3 hinaus ein Nachweis nach dem Muster der Anlage zu § 6 Absatz 2 des Regionalisierungsgesetzes bis zum 15. August des Folgejahres vorzulegen.</w:t>
      </w:r>
    </w:p>
    <w:p>
      <w:r>
        <w:rPr>
          <w:color w:val="555555"/>
          <w:sz w:val="17"/>
        </w:rPr>
        <w:t xml:space="preserve">Zitiervorschlag: § 12 NW_27077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