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11a NW_27077 (Nordrhein-Westfalen) — Ausbildungsverkehr-Pauschale</w:t>
      </w:r>
    </w:p>
    <w:p>
      <w:r>
        <w:rPr>
          <w:color w:val="555555"/>
          <w:sz w:val="18"/>
        </w:rPr>
        <w:t xml:space="preserve">ÖPNVG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gewährt den Aufgabenträgern gemäß § 3 Absatz 1 Satz 1 aus Landesmitteln eine jährliche Pauschale. Sie beträgt im Jahr 2011 100 Millionen EUR und ab dem Jahr 2012 jährlich 130 Millionen EUR. Die Pauschale wird auf die Aufgabenträger verteilt im Verhältnis des auf sie örtlich entfallenden Anteils an den landesweit für das Kalenderjahr 2008 im Jahr 2009 festgesetzten Ausgleichsansprüchen nach § 45a PBefG. Die Zuordnung der Ausgleichsansprüche der Verkehrsunternehmen, die im Gebiet mehrerer Aufgabenträger tätig sind, zum jeweiligen Aufgabenträger erfolgt nach dem auf ihn entfallenden Anteil an den vom Verkehrsunternehmen im Jahr 2008 insgesamt landesweit erbrachten Wagenkilometern im Straßenbahn- und O-Busverkehr sowie im Linienverkehr mit Kraftfahrzeugen gemäß §§ 42, 43 Nummer 2 PBefG. Im Falle einer Änderung der Aufgabenträgerschaft sind die Anteile entsprechend anzupassen.</w:t>
      </w:r>
    </w:p>
    <w:p>
      <w:r>
        <w:t xml:space="preserve">(2) Mindestens 87,5 Prozent der auf einen Aufgabenträger entfallenden Pauschale sind als Ausgleich zu den Kosten einzusetzen, die bei der Beförderung von Personen mit Zeitfahrausweisen des Ausbildungsverkehrs im Straßenbahn-, O-Busverkehr, im Verkehr mit Seilbahnen oder Personenfähren im Sinne von § 1 Absatz 3a oder Linienverkehr mit Kraftfahrzeugen gemäß den §§ 42 und 43 Satz 1 Nummer 2 des Personenbeförderungsgesetzes entstehen und nicht durch entsprechende Fahrgeldeinnahmen gedeckt werden. Die Finanzmittel nach Satz 1 sind hierzu an alle im jeweiligen Gebiet des Aufgabenträgers die Verkehre nach Satz 1 betreibenden Verkehrsunternehmen weiterzuleiten. Voraussetzung dafür ist, dass die Ver-kehrsunternehmen die Gemeinschafts-, Übergangstarife oder den landesweiten Tarif gemäß § 5 Absatz 3 anwenden oder zumindest anerkennen. Maßstab für die Verteilung des Anteils der Pauschale nach Satz 1 sind die Erträge im Ausbildungsverkehr des Jahres 2022 der Ver-kehrsunternehmen im Gebiet der jeweiligen Aufgabenträger, die im Falle von Betreiberwech-seln den Verkehrsunternehmen abweichend zuzuordnen sind. Bei der Umwandlung von Ver-kehrsleistungen, die nach dem 1. Januar 2022 aus dem freigestellten Schülerverkehr in den ÖPNV einschließlich für alle Fahrgäste zugänglicher Sonderlinienverkehre nach § 43 Satz 1 Nummer 2 des Personenbeförderungsgesetzes integriert wurden, sind die für die Verteilung maßgeblichen Fahrgeldeinnahmen des Jahres 2022 um die tatsächlichen Fahrgeldeinnah-men des jeweiligen Jahres von Schulträgern für die umgewandelten Verkehre zeitanteilig für den Zeitraum, in dem im Jahr 2022 der freigestellte Schülerverkehr noch bestand, zu erhöhen und die Verteilung entsprechend anzupassen. Die Zuordnung der Erträge der Verkehrsunter-nehmen, die im Gebiet mehrerer Aufgabenträger tätig sind, zum jeweiligen Aufgabenträger erfolgt nach dem auf ihn entfallenden Anteil an den vom Verkehrsunternehmen im jeweiligen Jahr insgesamt landesweit erbrachten Wagenkilometern im Straßenbahn- und O-Busverkehr, im Verkehr mit Seilbahnen oder Personenfähren im Sinne von § 1 Absatz 3a sowie im Linien-verkehr mit Kraftfahrzeugen gemäß den §§ 42 und 43 Satz 1 Nummer 2 des Personenbeför-derungsgesetzes. Für Verkehre, die auf Grund eines öffentlichen Dienstleistungsauftrages im Sinne von Artikel 3 Absatz 1 der Verordnung (EG) Nr. 1370/2007 durchgeführt werden, ist die Zuordnung und Berechnung nach Satz 7 jeweils getrennt vorzunehmen. Maßstab der Berechnung dieses Anteils sind die Erträge im Ausbildungsverkehr des jeweiligen Verkehrsunternehmens, die auf die Verkehre, die auf Grund des öffentlichen Dienstleistungsauftrages im Sinne von Artikel 3 Absatz 1 der Verordnung (EG) Nr. 1370/2007 durchgeführt werden, entfallen.</w:t>
      </w:r>
    </w:p>
    <w:p>
      <w:r>
        <w:t xml:space="preserve">(3) Bis zu 12,5 vom Hundert der Pauschale dürfen zur Finanzierung von Maßnahmen, die der Fortentwicklung von Tarif- und Verkehrsangeboten sowie Qualitätsverbesserungen im Ausbildungsverkehr dienen, oder für die mit der Abwicklung der Pauschale verbundenen Aufwendungen verwendet oder hierfür diskriminierungsfrei an öffentliche oder private Verkehrsunternehmen, Gemeinden, Zweckverbände oder juristische Personen des privaten Rechts, die Zwecke des ÖPNV verfolgen, weitergeleitet werden.</w:t>
      </w:r>
    </w:p>
    <w:p>
      <w:r>
        <w:t xml:space="preserve">(4) 70 Prozent der Pauschale werden zum 1. Mai, die restlichen 30 Prozent zum 1. Oktober des jeweiligen Jahres ausgezahlt. Auf begründeten Antrag kann das für das Verkehrswesen zuständige Ministerium im Einzelfall eine vorzeitige Auszahlung der Pauschale zulassen. Bei der Verwendung und Weiterleitung der Pauschale sind haushaltsrechtliche Bindungen der Empfänger und sonstige gesetzliche Bestimmungen zu beachten. Zinserträge oder ersparte Zinsaufwendungen, die vom Zeitpunkt des Eingangs der Pauschale bis zu ihrer Weiterleitung entstehen, sind zur Aufstockung dieser Pauschale zu verwenden. Gleiches gilt für Zinsen, die bei der Abwicklung dieser Pauschale von Dritten vereinnahmt werden.</w:t>
      </w:r>
    </w:p>
    <w:p>
      <w:r>
        <w:t xml:space="preserve">(5) Nicht verausgabte sowie unabhängig vom Zeitpunkt ihrer Gewährung zurück erhaltene Mittel dürfen bis zu sechs Monaten nach Ablauf des Kalenderjahres, in dem die Mittel nicht verausgabt wurden oder zurückgeflossen sind, für den in Absatz 2 und 3 näher bestimmten Zweck weitergeleitet werden. Bis dahin nicht verausgabte Mittel sind dem Land zu erstatten. Als Nachweis der Verwendung der Pauschale haben die Empfänger bis zum 30. September des Folgejahres eine Bestätigung über den ordnungsgemäßen Mitteleinsatz sowie eine Übersicht hierüber vorzulegen.</w:t>
      </w:r>
    </w:p>
    <w:p>
      <w:r>
        <w:rPr>
          <w:color w:val="555555"/>
          <w:sz w:val="17"/>
        </w:rPr>
        <w:t xml:space="preserve">Zitiervorschlag: § 11a NW_27077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https://recht.nulegal.eu/gesetze/NW_27077/11a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