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NW_27077 (Nordrhein-Westfalen) — Anwendungsbereich und Begriffsbestimmungen</w:t>
      </w:r>
    </w:p>
    <w:p>
      <w:r>
        <w:rPr>
          <w:color w:val="555555"/>
          <w:sz w:val="18"/>
        </w:rPr>
        <w:t xml:space="preserve">ÖPNVG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Öffentlicher Personennahverkehr (ÖPNV) ist eine Aufgabe der Daseinsvorsorge.</w:t>
      </w:r>
    </w:p>
    <w:p>
      <w:r>
        <w:t xml:space="preserve">(2) ÖPNV im Sinne dieses Gesetzes ist die allgemein zugängliche Beförderung von Personen mit Verkehrsmitteln im Linien- sowie diesen ersetzenden, ergänzenden oder verdichtenden Gelegenheitsverkehr, die überwiegend dazu bestimmt sind, die Verkehrsnachfrage im Stadt-, Vorort- oder Regionalverkehr zu befriedigen. Das ist im Zweifel der Fall, wenn in der Mehrzahl der Beförderungsfälle eines Verkehrsmittels die gesamte Reiseweite 50 Kilometer oder die gesamte Reisezeit eine Stunde nicht übersteigt.</w:t>
      </w:r>
    </w:p>
    <w:p>
      <w:r>
        <w:t xml:space="preserve">(3) Für den schienengebundenen ÖPNV gilt dieses Gesetz insoweit, als mit Eisenbahnen Schienenpersonennahverkehr nach § 2 Absatz 12 des Allgemeinen Eisenbahngesetzes vom 27. Dezember 1993 (BGBl. I S. 2378, 2396; 1994 I S. 2439), das zuletzt durch Artikel 1 des Gesetzes vom 17. Juli 2025 (BGBl. 2025 I Nr. 164) geändert worden ist, betrieben wird oder es sich um Straßenbahnen, Hochbahnen, Untergrundbahnen, Schwebebahnen oder ähnliche Bahnen im Sinne des § 4 Absatz 1 und 2 des Personenbeförderungsgesetzes in der Fassung der Bekanntmachung vom 8. August 1990 (BGBl. I S. 1690), das zuletzt durch Artikel 7 Absatz 4 des Gesetzes vom 11. April 2024 (BGBl. 2024 I Nr. 119) geändert worden ist, handelt.</w:t>
      </w:r>
    </w:p>
    <w:p>
      <w:r>
        <w:t xml:space="preserve">(3a) Dieses Gesetz gilt für Seilbahnen und Personenfähren, sofern diese ausschließlich dem ÖPNV dienen und der Gemeinschaftstarif sowie der landesweite Tarif nach § 5 Absatz 3 zur Anwendung kommen. Die Feststellung erfolgt durch das für das Verkehrswesen zuständige Ministerium auf Antrag des Unternehmers nach Anhörung des zuständigen Aufgabenträgers.</w:t>
      </w:r>
    </w:p>
    <w:p>
      <w:r>
        <w:t xml:space="preserve">(4) Dieses Gesetz gilt nicht für Eisenbahnen, deren Geschäftstätigkeit überwiegend auf die Vermittlung des historischen Eisenbahnwesens ausgerichtet ist, sowie für die übrigen Seilbahnen.</w:t>
      </w:r>
    </w:p>
    <w:p>
      <w:r>
        <w:rPr>
          <w:color w:val="555555"/>
          <w:sz w:val="17"/>
        </w:rPr>
        <w:t xml:space="preserve">Zitiervorschlag: § 1 NW_27077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https://recht.nulegal.eu/gesetze/NW_27077/1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