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NW_27074 (Nordrhein-Westfalen) — Überhöhungen</w:t>
      </w:r>
    </w:p>
    <w:p>
      <w:r>
        <w:rPr>
          <w:color w:val="555555"/>
          <w:sz w:val="18"/>
        </w:rPr>
        <w:t xml:space="preserve">BOA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gegenüberliegenden Schienenoberkanten sollen in der Regel gleich hoch liegen.</w:t>
      </w:r>
    </w:p>
    <w:p>
      <w:r>
        <w:t xml:space="preserve">(2) Im Gleisbogen sind je nach der Fahrgeschwindigkeit Überhöhungen zulässig.</w:t>
      </w:r>
    </w:p>
    <w:p>
      <w:r>
        <w:t xml:space="preserve">(3) Zwischen dem überhöhten und dem nichtüberhöhten Teil eines Gleises sind Rampen einzulegen, deren Länge mindestens das 300-fache der Überhöhung betragen soll.</w:t>
      </w:r>
    </w:p>
    <w:p>
      <w:r>
        <w:rPr>
          <w:color w:val="555555"/>
          <w:sz w:val="17"/>
        </w:rPr>
        <w:t xml:space="preserve">Zitiervorschlag: § 7 NW_27074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