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NW_27074 (Nordrhein-Westfalen) — Spurweite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Spurweite ist der kleinste Abstand der Innenflächen der Schienenköpfe im Bereich von 0 bis 14 mm unter Schienenoberkante.</w:t>
      </w:r>
    </w:p>
    <w:p>
      <w:r>
        <w:t xml:space="preserve">(2) Die Spurweite darf folgende Maße nicht über- oder unterschreiten:</w:t>
      </w:r>
    </w:p>
    <w:p>
      <w:r>
        <w:t xml:space="preserve">bei Regelspur</w:t>
      </w:r>
    </w:p>
    <w:p>
      <w:r>
        <w:t xml:space="preserve">von 1,435 m</w:t>
      </w:r>
    </w:p>
    <w:p>
      <w:r>
        <w:t xml:space="preserve">1,470 m bzw. 1,430 m</w:t>
      </w:r>
    </w:p>
    <w:p>
      <w:r>
        <w:t xml:space="preserve">bei Schmalspur</w:t>
      </w:r>
    </w:p>
    <w:p>
      <w:r>
        <w:t xml:space="preserve">von 1,00 m</w:t>
      </w:r>
    </w:p>
    <w:p>
      <w:r>
        <w:t xml:space="preserve">1,025 m bzw. 0,995 m</w:t>
      </w:r>
    </w:p>
    <w:p>
      <w:r>
        <w:t xml:space="preserve">von 0,75 m</w:t>
      </w:r>
    </w:p>
    <w:p>
      <w:r>
        <w:t xml:space="preserve">0,770 m bzw. 0,745 m.</w:t>
      </w:r>
    </w:p>
    <w:p>
      <w:r>
        <w:t xml:space="preserve">(3) Bei Bogen mit Halbmessern unter 200 m ist das Grundmaß der Spurweite zu vergrößern, wenn die Bauart der Fahrzeuge es erfordert.</w:t>
      </w:r>
    </w:p>
    <w:p>
      <w:r>
        <w:rPr>
          <w:color w:val="555555"/>
          <w:sz w:val="17"/>
        </w:rPr>
        <w:t xml:space="preserve">Zitiervorschlag: § 6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