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NW_27074 (Nordrhein-Westfalen) — In-Kraft-Treten und Außer-Kraft-Treten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1. Januar 1968 in Kraft.</w:t>
      </w:r>
    </w:p>
    <w:p>
      <w:r>
        <w:t xml:space="preserve">(2)</w:t>
      </w:r>
    </w:p>
    <w:p>
      <w:r>
        <w:t xml:space="preserve">Der Minister</w:t>
      </w:r>
    </w:p>
    <w:p>
      <w:r>
        <w:t xml:space="preserve">für Wirtschaft, Mittelstand und Verkehr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(Artikel 107 des Ersten Gesetzes zur Befristung des Landesrechts Nordrhein-Westfalen v. 18. Mai 2004 (GV. NRW. S. 248))</w:t>
      </w:r>
    </w:p>
    <w:p>
      <w:r>
        <w:t xml:space="preserve">Wiederherstellung des Verordnungsranges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40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