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NW_27074 (Nordrhein-Westfalen) — Allgemeines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den Bahnanlagen gehören alle zum Betrieb der Anschlußbahn erforderlichen Anlagen mit Ausnahme der Fahrzeuge und der maschinellen Anlagen (§§ 13--21).</w:t>
      </w:r>
    </w:p>
    <w:p>
      <w:r>
        <w:t xml:space="preserve">(2) Die Grenzen der Anschlußbahn müssen örtlich gekennzeichnet sein.</w:t>
      </w:r>
    </w:p>
    <w:p>
      <w:r>
        <w:t xml:space="preserve">(3) Änderungen der Bahnanlagen sind, wenn sie sich auf die Sicherheit auswirken, vor Baubeginn der Aufsichtsbehörde anzuzeigen.</w:t>
      </w:r>
    </w:p>
    <w:p>
      <w:r>
        <w:rPr>
          <w:color w:val="555555"/>
          <w:sz w:val="17"/>
        </w:rPr>
        <w:t xml:space="preserve">Zitiervorschlag: § 4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