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NW_27074 (Nordrhein-Westfalen) — Signale</w:t>
      </w:r>
    </w:p>
    <w:p>
      <w:r>
        <w:rPr>
          <w:color w:val="555555"/>
          <w:sz w:val="18"/>
        </w:rPr>
        <w:t xml:space="preserve">BOA</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Dunkelheit muß die Spitze der Fahreinheit durch eine weißleuchtende Laterne gekennzeichnet sein. Ist das erste Fahrzeug ein Triebfahrzeug, so ist das Dreilicht-Spitzensignal zu führen. Wenn Bahnübergänge nicht befahren werden oder alle befahrenen Bahnübergänge technisch oder durch Posten gesichert sind, so genügt auch an Triebfahrzeugen die Beleuchtung nach Satz 1.</w:t>
      </w:r>
    </w:p>
    <w:p>
      <w:r>
        <w:t xml:space="preserve">(2) Vor Bahnübergängen, die mit Läutezeichen versehen sind, ist von der gekennzeichneten Stelle an zu läuten, bis das erste Fahrzeug den Bahnübergang befahren hat. Außerdem ist das Achtungssignal zu geben, soweit es angeordnet ist. Es ist zu wiederholen oder stets zu geben, wenn die Örtlichkeit oder andere Umstände es erfordern (Nebel, Schneegestöber, Annäherung von Wegebenutzern, Warnung von Personen, die am Gleis arbeiten oder dgl.). Hat das Triebfahrzeug keine Läuteeinrichtung, so sind nur Achtungssignale zu geben.</w:t>
      </w:r>
    </w:p>
    <w:p>
      <w:r>
        <w:t xml:space="preserve">(3) Signale sind nach Anl. D zu geben.</w:t>
      </w:r>
    </w:p>
    <w:p>
      <w:r>
        <w:t xml:space="preserve">(4) Werden weitere Signale verwendet, sollen sie in Form und Bedeutung der Eisenbahn-Signalordnung vom 7. Oktober 1959 (BGBl. II S. 1021) entsprechen. Sie müssen unmißverständlich sein.</w:t>
      </w:r>
    </w:p>
    <w:p>
      <w:r>
        <w:rPr>
          <w:color w:val="555555"/>
          <w:sz w:val="17"/>
        </w:rPr>
        <w:t xml:space="preserve">Zitiervorschlag: § 30 NW_27074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https://recht.nulegal.eu/gesetze/NW_27074/30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