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NW_27074 (Nordrhein-Westfalen) — Befugnisse der Aufsichtsbehörde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Maßnahmen, zu denen die Aufsichtsbehörde nach dieser Verordnung ermächtigt ist, dürfen nur aus Gründen der Betriebssicherheit angeordnet werden.</w:t>
      </w:r>
    </w:p>
    <w:p>
      <w:r>
        <w:t xml:space="preserve">(2) Die Aufsichtsbehörde kann im Einzelfall Abweichungen von den Bestimmungen dieser Verordnung zulassen, sofern die Betriebssicherheit nicht gefährdet wird. Sie kann ferner im Einzelfall zusätzliche Anordnungen aus Gründen der Betriebssicherheit treffen.</w:t>
      </w:r>
    </w:p>
    <w:p>
      <w:r>
        <w:t xml:space="preserve">II. Bahnanlagen</w:t>
      </w:r>
    </w:p>
    <w:p>
      <w:r>
        <w:rPr>
          <w:color w:val="555555"/>
          <w:sz w:val="17"/>
        </w:rPr>
        <w:t xml:space="preserve">Zitiervorschlag: § 3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