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NW_27074 (Nordrhein-Westfalen) — Begrenzung der Fahrzeuge</w:t>
      </w:r>
    </w:p>
    <w:p>
      <w:r>
        <w:rPr>
          <w:color w:val="555555"/>
          <w:sz w:val="18"/>
        </w:rPr>
        <w:t xml:space="preserve">BOA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Für die Begrenzung der Fahrzeuge gelten die Maße der Anlage B. (Anlage B)</w:t>
      </w:r>
    </w:p>
    <w:p>
      <w:r>
        <w:t xml:space="preserve">(2) Bremsklötze, Sandstreuer und Bahnräumer aller Fahrzeuge und die unabgefederten Teile der Triebfahrzeuge dürfen bis auf 65 mm über Schienenoberkante unter den unteren waagerechten Teil der auf der Anlage B durch ausgezogene Linien dargestellten Begrenzung herabreichen. Diese Teile dürfen bis auf 55 mm herabreichen; wenn sie auch in Gleisbogen innerhalb des durch die Radreifen bestrichenen Raumes und bei Wagen außerdem zwischen den Endachsen bleiben.</w:t>
      </w:r>
    </w:p>
    <w:p>
      <w:r>
        <w:rPr>
          <w:color w:val="555555"/>
          <w:sz w:val="17"/>
        </w:rPr>
        <w:t xml:space="preserve">Zitiervorschlag: § 14 NW_27074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https://recht.nulegal.eu/gesetze/NW_27074/14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