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9b NW_27058 (Nordrhein-Westfalen) — Duldungspflichten im Interesse der Unterhaltung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es zur Unterhaltung einer öffentlichen Straße im Sinne des § 2 erforderlich ist, haben Dritte, insbesondere die Anlieger und die Hinterlieger, zu dulden, dass die Straßenbaubehörde oder von ihr Beauftragte die Grundstücke betreten oder vorübergehend benutzen. Die Arbeiten zur Unterhaltung müssen dem Dritten durch die Straßenbaubehörde angekündigt werden.</w:t>
      </w:r>
    </w:p>
    <w:p>
      <w:r>
        <w:t xml:space="preserve">(2) Entstehen durch Handlungen nach Absatz 1 Schäden, hat der Geschädigte Anspruch auf Schadensersatz.</w:t>
      </w:r>
    </w:p>
    <w:p>
      <w:r>
        <w:t xml:space="preserve">(3) Der Inhaber einer Sondernutzungserlaubnis hat, ohne Anspruch auf Entschädigung, zu dulden, dass die Ausübung seines Rechts durch Arbeiten zur Unterhaltung vorübergehend behindert oder unterbrochen wird. Auf die Interessen des Inhabers einer Sondernutzungserlaubnis ist Rücksicht zu nehmen.</w:t>
      </w:r>
    </w:p>
    <w:p>
      <w:r>
        <w:rPr>
          <w:color w:val="555555"/>
          <w:sz w:val="17"/>
        </w:rPr>
        <w:t xml:space="preserve">Zitiervorschlag: § 9b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https://recht.nulegal.eu/gesetze/NW_27058/9b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