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9a NW_27058 (Nordrhein-Westfalen) — Hoheitsverwaltung, bautechnische Sicherheit</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 dem Bau und der Unterhaltung der öffentlichen Straßen einschließlich der Bundesstraßen zusammenhängenden Aufgaben obliegen den Bediensteten der damit befaßten Körperschaften als Amtspflichten in Ausübung hoheitlicher Tätigkeit. Das gleiche gilt für die Erhaltung der Verkehrssicherheit.</w:t>
      </w:r>
    </w:p>
    <w:p>
      <w:r>
        <w:t xml:space="preserve">(2) Die Straßen sind so herzustellen und zu unterhalten, daß sie den Erfordernissen der Sicherheit und Ordnung genügen. Einer Genehmigung, Zustimmung, Anzeige, Erlaubnis, Überwachung und Abnahme bedarf es, ausgenommen für Gebäude, nicht, wenn die baulichen Anlagen zur Erfüllung der Straßenbaulast unter verantwortlicher Leitung einer Straßenbaubehörde erstellt werden. Satz 2 gilt für bauliche Anlagen von Gemeinden nur dann, wenn diese untere Bauaufsichtsbehörden gemäß § 60 Absatz 1 Nummer 3 der Landesbauordnung in der Fassung der Bekanntmachung vom 1. März 2000 (GV. NRW. S. 256), die zuletzt durch Artikel 2 des Gesetzes vom 20. Mai 2014 (GV. NRW. S. 294) geändert worden ist, sind. Die Straßenbaubehörde trägt die Verantwortung dafür, daß die öffentlich-rechtlichen Vorschriften eingehalten und die sicherheitstechnischen Erfordernisse erfüllt werden.</w:t>
      </w:r>
    </w:p>
    <w:p>
      <w:r>
        <w:t xml:space="preserve">(3) Die Straßenbaubehörde kann bestimmte Aufgaben, die ihr aufgrund des Absatzes 2 anstelle der Bauaufsichtsbehörde obliegen, nach den für die Bauaufsichtsbehörde geltenden Vorschriften auf besondere Sachverständige übertragen.</w:t>
      </w:r>
    </w:p>
    <w:p>
      <w:r>
        <w:t xml:space="preserve">(4) Absatz 3 gilt für die Verwaltung der Bundesstraßen entsprechend.</w:t>
      </w:r>
    </w:p>
    <w:p>
      <w:r>
        <w:rPr>
          <w:color w:val="555555"/>
          <w:sz w:val="17"/>
        </w:rPr>
        <w:t xml:space="preserve">Zitiervorschlag: § 9a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https://recht.nulegal.eu/gesetze/NW_27058/9a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