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NW_27058 (Nordrhein-Westfalen) — Sondernutzungen (Zu §§ 18ff.)</w:t>
      </w:r>
    </w:p>
    <w:p>
      <w:r>
        <w:rPr>
          <w:color w:val="555555"/>
          <w:sz w:val="18"/>
        </w:rPr>
        <w:t xml:space="preserve">Straßen- und Wegegesetz des Landes Nordrhein-Westfalen (StrWG NRW);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Inkrafttreten dieses Gesetzes bestehende unwiderrufliche Nutzungsrechte an öffentlichen Straßen können, soweit dies zur Erfüllung der Aufgaben des Trägers der Straßenbaulast erforderlich ist, durch Enteignung aufgehoben werden. § 42 gilt entsprechend.</w:t>
      </w:r>
    </w:p>
    <w:p>
      <w:r>
        <w:t xml:space="preserve">(2) Für Sondernutzungen, die bei Inkrafttreten dieses Gesetzes durch bürgerlich-rechtliche Verträge vereinbart sind, gelten die Vorschriften für Sondernutzungen (§§ 18ff.) von dem Zeitpunkt an, zu dem die Verträge erstmals nach Inkrafttreten dieses Gesetzes kündbar sind.</w:t>
      </w:r>
    </w:p>
    <w:p>
      <w:r>
        <w:t xml:space="preserve">(3) Der bisher ortsübliche Gebrauch der Ortsdurchfahrten und der Gemeindestraßen über den Gemeingebrauch hinaus bleibt bis zum Erlaß einer Satzung nach § 19 zugelassen.</w:t>
      </w:r>
    </w:p>
    <w:p>
      <w:r>
        <w:rPr>
          <w:color w:val="555555"/>
          <w:sz w:val="17"/>
        </w:rPr>
        <w:t xml:space="preserve">Zitiervorschlag: § 64 NW_27058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https://recht.nulegal.eu/gesetze/NW_27058/64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