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NW_27058 (Nordrhein-Westfalen) — Widmung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Widmung ist die Allgemeinverfügung, durch die Straßen, Wege und Plätze die Eigenschaft einer öffentlichen Straße erhalten. Sie ist mit Rechtsbehelfsbelehrung öffentlich bekanntzumachen und wird frühestens im Zeitpunkt der öffentlichen Bekanntmachung wirksam. Die Bekanntmachung ist entbehrlich, wenn die zur Widmung vorgesehenen Straßen in den im Planfeststellungsverfahren im Internet veröffentlichten oder ausgelegten Plänen als solche kenntlich und die Entscheidung mit dem Planfeststellungsbeschluss bekannt gemacht worden ist.</w:t>
      </w:r>
    </w:p>
    <w:p>
      <w:r>
        <w:t xml:space="preserve">(2) Die Widmung verfügt die Straßenbaubehörde. Ist die widmende Straßenbaubehörde nicht Behörde des Trägers der Straßenbaulast, so ist zur Widmung dessen schriftliche oder elektronische Zustimmung erforderlich. Die Widmung eines nicht öffentlichen Weges, der außerhalb einer Ortsdurchfahrt in eine Bundesstraße, Landesstraße oder Kreisstraße einmündet, zu einer Straße im Sinne des § 3 Abs. 1 Nr. 3 oder Nr. 4 bedarf der vorherigen Zustimmung der Straßenbaubehörde für die Bundesstraße, Landesstraße oder Kreisstraße.</w:t>
      </w:r>
    </w:p>
    <w:p>
      <w:r>
        <w:t xml:space="preserve">(3) In der Widmung sind die Straßengruppe, zu der die Straße gehört (Einstufung), und Beschränkungen der Widmung auf bestimmte Benutzungsarten, Benutzungszwecke oder Benutzerkreise sowie etwaige sonstige Besonderheiten festzulegen (Widmungsinhalt).</w:t>
      </w:r>
    </w:p>
    <w:p>
      <w:r>
        <w:t xml:space="preserve">(4) Nachträgliche Beschränkungen der Widmung richten sich nach den Vorschriften über die Einziehung (§ 7). Sonstige nachträgliche Änderungen des Widmungsinhalts sind durch Widmungsverfügung festzulegen.</w:t>
      </w:r>
    </w:p>
    <w:p>
      <w:r>
        <w:t xml:space="preserve">(5) Voraussetzung für die Widmung ist, daß der Träger der Straßenbaulast Eigentümer des der Straße dienenden Grundstücks ist oder daß der Eigentümer und ein sonst zur Nutzung dinglich Berechtigter der Widmung zugestimmt oder den Besitz durch Vertrag überlassen haben oder daß der Träger der Straßenbaulast den Besitz des der Straße dienenden Grundstücks durch Einweisung (§ 37 Landesenteignungs- und -entschädigungsgesetz in Verbindung mit § 50) oder in einem sonstigen gesetzlich geregelten Verfahren erlangt hat.</w:t>
      </w:r>
    </w:p>
    <w:p>
      <w:r>
        <w:t xml:space="preserve">(6) Durch privatrechtliche Verfügungen oder durch Verfügungen im Wege der Zwangsvollstreckung oder der Enteignung über die der Straße dienenden Grundstücke oder Rechte an ihnen wird die Widmung nicht berührt.</w:t>
      </w:r>
    </w:p>
    <w:p>
      <w:r>
        <w:t xml:space="preserve">(7) Bei Straßen, deren Bau oder wesentliche Änderung durch Planfeststellung geregelt wird, kann die Widmung in diesem Verfahren mit der Maßgabe verfügt werden, daß sie mit der Verkehrsübergabe wirksam wird, wenn die Voraussetzungen des Absatzes 5 zu diesem Zeitpunkt vorliegen. Die Straßenbaubehörde hat den Zeitpunkt der Verkehrsübergabe, die Straßengruppe sowie Beschränkungen und Besonderheiten der Widmung im Sinne von Absatz 3 der Straßenaufsichtsbehörde anzuzeigen.</w:t>
      </w:r>
    </w:p>
    <w:p>
      <w:r>
        <w:t xml:space="preserve">(8) Wird eine Straße verbreitert, begradigt, unerheblich verlegt oder ergänzt, so gilt der neue Straßenteil durch die Verkehrsübergabe als gewidmet, sofern die Voraussetzungen des Absatzes 5 vorliegen. Einer öffentlichen Bekanntmachung nach Absatz 1 bedarf es nicht.</w:t>
      </w:r>
    </w:p>
    <w:p>
      <w:r>
        <w:rPr>
          <w:color w:val="555555"/>
          <w:sz w:val="17"/>
        </w:rPr>
        <w:t xml:space="preserve">Zitiervorschlag: § 6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