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NW_27058 (Nordrhein-Westfalen) — Ordnungswidrigkeiten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fahrlässig</w:t>
      </w:r>
    </w:p>
    <w:p>
      <w:r>
        <w:t xml:space="preserve">1. entgegen§ 18 Abs. 1 eine Straße über den Gemeingebrauch hinaus ohne Erlaubnis benutzt,</w:t>
      </w:r>
    </w:p>
    <w:p>
      <w:r>
        <w:t xml:space="preserve">2. nach § 18 Abs. 2 erteilten vollziehbaren Auflagen nicht nachkommt,</w:t>
      </w:r>
    </w:p>
    <w:p>
      <w:r>
        <w:t xml:space="preserve">3. entgegen § 18 Absatz 4 oder § 18a Absatz 2 Satz 3 in Verbindung mit § 18 Absatz 4</w:t>
      </w:r>
    </w:p>
    <w:p>
      <w:r>
        <w:t xml:space="preserve">a) Anlagen nicht vorschriftsmäßig errichtet oder unterhält oder</w:t>
      </w:r>
    </w:p>
    <w:p>
      <w:r>
        <w:t xml:space="preserve">b) auf vollziehbares Verlangen der zuständigen Behörde Anlagen nicht entfernt oder den benutzten Straßenteil nicht in einen ordnungsgemäßen Zustand versetzt,</w:t>
      </w:r>
    </w:p>
    <w:p>
      <w:r>
        <w:t xml:space="preserve">4. entgegen § 20 Abs. 1 in Verbindung mit § 18 Abs. 1 Zufahrten oder Zugänge ohne Erlaubnis anlegt oder ändert,</w:t>
      </w:r>
    </w:p>
    <w:p>
      <w:r>
        <w:t xml:space="preserve">5. entgegen § 20 Abs. 4 in Verbindung mit § 18 Abs. 4 Zufahrten oder Zugänge nicht vorschriftsmäßig unterhält,</w:t>
      </w:r>
    </w:p>
    <w:p>
      <w:r>
        <w:t xml:space="preserve">6. einer nach § 20 Abs. 7 ergangenen vollziehbaren Anordnung nicht nachkommt,</w:t>
      </w:r>
    </w:p>
    <w:p>
      <w:r>
        <w:t xml:space="preserve">7. ohne die gemäß § 25 erforderliche Zustimmung oder Genehmigung der Straßenbaubehörde bauliche Anlagen errichtet oder über Zufahrten oder Zugänge an Landesstraßen, Radschnellverbindungen des Landes oder Kreisstraßen unmittelbar oder mittelbar anschließt,</w:t>
      </w:r>
    </w:p>
    <w:p>
      <w:r>
        <w:t xml:space="preserve">8. Bedingungen oder vollziehbaren Auflagen gemäß § 25 Abs. 2, auch in Verbindung mit § 25 Abs. 4, oder gemäß § 28 Abs. 1 nicht nachkommt, unter denen einem Vorhaben zugestimmt oder eine Ausnahme vom Verbot des § 28 Abs. 1 zugelassen wurde,</w:t>
      </w:r>
    </w:p>
    <w:p>
      <w:r>
        <w:t xml:space="preserve">9. Anlagen der Außenwerbung entgegen § 28 Abs. 1, auch in Verbindung mit § 25 oder § 27 errichtet oder entgegen § 28 Abs. 2 an oder auf Brücken anbringt oder aufstellt,</w:t>
      </w:r>
    </w:p>
    <w:p>
      <w:r>
        <w:t xml:space="preserve">10. entgegen § 30 Abs. 1 die notwendigen Einrichtungen nicht duldet oder entgegen § 30 Abs. 2 Satz 1 Anpflanzungen oder Einrichtungen, die die Verkehrssicherheit beeinträchtigen, anlegt oder entgegen § 30 Abs. 2 Satz 2 ihre Beseitigung nicht duldet,</w:t>
      </w:r>
    </w:p>
    <w:p>
      <w:r>
        <w:t xml:space="preserve">11. entgegen § 31 Abs. 3 Schutzwald nicht erhält oder nicht den Schutzzwecken entsprechend bewirtschaftet,</w:t>
      </w:r>
    </w:p>
    <w:p>
      <w:r>
        <w:t xml:space="preserve">12. entgegen § 37a Abs. 1 Satz 1 Vorarbeiten oder die vorübergehende Anbringung von Markierungszeichen nicht duldet,</w:t>
      </w:r>
    </w:p>
    <w:p>
      <w:r>
        <w:t xml:space="preserve">13. entgegen § 40 Abs. 1 auf den von dem Plan betroffenen Flächen oder in dem nach § 37b festgelegten Planungsgebiet Veränderungen vornimmt.</w:t>
      </w:r>
    </w:p>
    <w:p>
      <w:r>
        <w:t xml:space="preserve">(2) Ordnungswidrigkeiten nach Absatz 1 Nrn. 1 bis 6 und 10 bis 12 können mit einer Geldbuße bis zu tausend Euro, Ordnungswidrigkeiten nach Absatz 1 Nrn. 7 bis 9 und 13 mit einer Geldbuße bis zu zehntausend Euro geahndet werden.</w:t>
      </w:r>
    </w:p>
    <w:p>
      <w:r>
        <w:rPr>
          <w:color w:val="555555"/>
          <w:sz w:val="17"/>
        </w:rPr>
        <w:t xml:space="preserve">Zitiervorschlag: § 59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https://recht.nulegal.eu/gesetze/NW_27058/59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