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NW_27058 (Nordrhein-Westfalen) — Anwendung von Vorschriftenbei sonstigen öffentlichen Straßen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sonstigen öffentlichen Straßen finden die allgemeinen Vorschriften dieses Gesetzes (Erster Teil) mit Ausnahme der §§ 5, 9a, 18 bis 23, 25 bis 28 sowie §§ 37 bis 42 Anwendung.</w:t>
      </w:r>
    </w:p>
    <w:p>
      <w:r>
        <w:t xml:space="preserve">(2) Die Benutzung der sonstigen öffentlichen Straßen über den Gemeingebrauch hinaus (Sondernutzung) regelt sich ausschließlich nach bürgerlichem Recht.</w:t>
      </w:r>
    </w:p>
    <w:p>
      <w:r>
        <w:rPr>
          <w:color w:val="555555"/>
          <w:sz w:val="17"/>
        </w:rPr>
        <w:t xml:space="preserve">Zitiervorschlag: § 51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