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NW_27058 (Nordrhein-Westfalen) — Ortsdurchfahrten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Ortsdurchfahrt ist der Teil einer Landesstraße oder Kreisstraße oder Radschnellverbindung des Landes, der innerhalb der geschlossenen Ortslage liegt und auch zur Erschließung der anliegenden Grundstücke bestimmt ist. Geschlossene Ortslage ist der Teil des Gemeindebezirks, der in geschlossener oder offener Bauweise zusammenhängend bebaut ist. Einzelne unbebaute Grundstücke, zur Bebauung ungeeignetes oder ihr entzogenes Gelände oder einseitige Bebauung unterbrechen den Zusammenhang nicht.</w:t>
      </w:r>
    </w:p>
    <w:p>
      <w:r>
        <w:t xml:space="preserve">(2) Die Ortsdurchfahrt einer Landesstraße oder einer Radschnellverbindung des Landes setzt der Landesbetrieb Straßenbau im Einvernehmen mit der Gemeinde und der Bezirksregierung fest. Die Festsetzung ist mit Rechtsbehelfsbelehrung öffentlich bekanntzumachen.</w:t>
      </w:r>
    </w:p>
    <w:p>
      <w:r>
        <w:t xml:space="preserve">(3) Die Ortsdurchfahrt einer Kreisstraße setzt der Kreis im Einvernehmen mit der Gemeinde und der Bezirksregierung fest. In kreisfreien Städten setzt die Stadt im Einvernehmen mit der Bezirksregierung die Ortsdurchfahrt fest. Absatz 2 Satz 2 gilt für die Ortsdurchfahrten von Kreisstraßen entsprechend.</w:t>
      </w:r>
    </w:p>
    <w:p>
      <w:r>
        <w:t xml:space="preserve">(4) Bei der Festsetzung der Ortsdurchfahrt kann von Absatz 1 abgewichen werden, wenn die Länge der Ortsdurchfahrt wegen der Art der Bebauung in einem offensichtlichen Mißverhältnis zur Einwohnerzahl steht oder wenn es aus Gründen der ordnungsgemäßen und wirtschaftlichen Durchführung von Bau- und Unterhaltungsmaßnahmen geboten ist.</w:t>
      </w:r>
    </w:p>
    <w:p>
      <w:r>
        <w:t xml:space="preserve">(5) Reicht die festgesetzte Ortsdurchfahrt einer Landesstraße für den Verkehr nicht aus, so soll der Landesbetrieb Straßenbau im Einvernehmen mit der Gemeinde und der Bezirksregierung eine Straße, die nach ihrem Ausbauzustand für die Aufnahme des Verkehrs geeignet ist, als zusätzliche Ortsdurchfahrt festsetzen. Satz 1 gilt für Ortsdurchfahrten von Kreisstraßen entsprechend; die zusätzliche Ortsdurchfahrt wird im Einvernehmen mit der Gemeinde und der Bezirksregierung vom Kreis, in kreisfreien Städten im Einvernehmen mit der Bezirksregierung von der Stadt, festgesetzt.</w:t>
      </w:r>
    </w:p>
    <w:p>
      <w:r>
        <w:rPr>
          <w:color w:val="555555"/>
          <w:sz w:val="17"/>
        </w:rPr>
        <w:t xml:space="preserve">Zitiervorschlag: § 5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