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NW_27058 (Nordrhein-Westfalen) — Straßenbaulast Dritter</w:t>
      </w:r>
    </w:p>
    <w:p>
      <w:r>
        <w:rPr>
          <w:color w:val="555555"/>
          <w:sz w:val="18"/>
        </w:rPr>
        <w:t xml:space="preserve">Straßen- und Wegegesetz des Landes Nordrhein-Westfalen (StrWG NRW);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§§ 43 und 44 gelten nicht, soweit die Straßenbaulast aufgrund anderer gesetzlicher Vorschriften oder aufgrund öffentlich-rechtlicher Verpflichtungen anderen Trägern obliegt oder übertragen wird.</w:t>
      </w:r>
    </w:p>
    <w:p>
      <w:r>
        <w:t xml:space="preserve">(2) Bürgerlich-rechtliche Verpflichtungen Dritter zur Erfüllung der Aufgabe aus der Straßenbaulast lassen die Straßenbaulast als solche unberührt.</w:t>
      </w:r>
    </w:p>
    <w:p>
      <w:r>
        <w:rPr>
          <w:color w:val="555555"/>
          <w:sz w:val="17"/>
        </w:rPr>
        <w:t xml:space="preserve">Zitiervorschlag: § 45 NW_27058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https://recht.nulegal.eu/gesetze/NW_27058/45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