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NW_27058 (Nordrhein-Westfalen) — Träger der Straßenbaulast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Träger der Straßenbaulast sind:</w:t>
      </w:r>
    </w:p>
    <w:p>
      <w:r>
        <w:t xml:space="preserve">1. für die Landesstraßen und Radschnellverbindungen des Landes das Land;</w:t>
      </w:r>
    </w:p>
    <w:p>
      <w:r>
        <w:t xml:space="preserve">2. für die Kreisstraßen die Kreise und kreisfreien Städte.</w:t>
      </w:r>
    </w:p>
    <w:p>
      <w:r>
        <w:t xml:space="preserve">Die Straßenbaulast des Landes erstreckt sich auch auf solche Radschnellverbindungen, die als unselbständige Radwege im Sinne des § 2 Absatz 2 Nummer 1 Buchstabe b an Kreisstraßen, Gemeindestraßen oder sonstigen öffentlichen Straßen gemäß § 3 Absatz 5 geführt werden. Satz 1 und 2 gelten nicht für die Ortsdurchfahrten, soweit für diese die Straßenbaulast nach den folgenden Bestimmungen den Gemeinden obliegt (§ 44).</w:t>
      </w:r>
    </w:p>
    <w:p>
      <w:r>
        <w:t xml:space="preserve">(2) Die Aufgaben des Trägers der Straßenbaulast für das Land werden vom Landesbetrieb Straßenbau wahrgenommen.</w:t>
      </w:r>
    </w:p>
    <w:p>
      <w:r>
        <w:rPr>
          <w:color w:val="555555"/>
          <w:sz w:val="17"/>
        </w:rPr>
        <w:t xml:space="preserve">Zitiervorschlag: § 43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