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NW_27058 (Nordrhein-Westfalen) — Enteignung, Entschädigungsansprüche</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Träger der Straßenbaulast hat das Recht der Enteignung, soweit sie zur Unterhaltung oder Ausführung eines nach § 38 Absatz 1 festgestellten oder genehmigten Bauvorhabens notwendig ist. Einer weiteren Feststellung der Zulässigkeit der Enteignung bedarf es nicht. Der Planfeststellungsbeschluß oder die Plangenehmigung ist für die Enteignungsbehörde bindend. Das Landesenteignungs- und -entschädigungsgesetz ist anzuwenden.</w:t>
      </w:r>
    </w:p>
    <w:p>
      <w:r>
        <w:t xml:space="preserve">(2) Soweit der Träger der Straßenbaulast nach Vorschriften dieses Gesetzes oder aufgrund eines Planfeststellungsbeschlusses nach § 39 Absatz 2 in Verbindung mit § 74 Absatz 2 Satz 3 beziehungsweise § 75 Absatz 2 Satz 4 des Verwaltungsverfahrensgesetzes NRW oder einer Plangenehmigung verpflichtet ist, eine Entschädigung in Geld zu leisten, und über die Höhe der Entschädigung keine Einigung zwischen dem Betroffenen und dem Träger der Straßenbaulast zustande kommt, entscheidet auf Antrag eines der Beteiligten die Enteignungsbehörde. Für das Verfahren gelten die enteignungsrechtlichen Vorschriften über die Feststellung von Entschädigungen entsprechend.</w:t>
      </w:r>
    </w:p>
    <w:p>
      <w:r>
        <w:t xml:space="preserve">(3) Wenn sich ein Betroffener mit der Übertragung oder Beschränkung des Eigentums oder eines anderen Rechts rechtsverbindlich einverstanden erklärt hat, jedoch über die Entschädigung keine Einigung erzielt wurde, kann das Entschädigungsverfahren durch die Enteignungsbehörde auf Antrag eines Beteiligten unmittelbar durchgeführt werden.</w:t>
      </w:r>
    </w:p>
    <w:p>
      <w:r>
        <w:rPr>
          <w:color w:val="555555"/>
          <w:sz w:val="17"/>
        </w:rPr>
        <w:t xml:space="preserve">Zitiervorschlag: § 42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