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NW_27058 (Nordrhein-Westfalen) — Straßenverzeichnisse und Straßennummern</w:t>
      </w:r>
    </w:p>
    <w:p>
      <w:r>
        <w:rPr>
          <w:color w:val="555555"/>
          <w:sz w:val="18"/>
        </w:rPr>
        <w:t xml:space="preserve">Straßen- und Wegegesetz des Landes Nordrhein-Westfalen (StrWG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Landesstraßen, Radschnellverbindungen des Landes, Kreisstraßen und Gemeindestraßen werden Straßenverzeichnisse als Bestandsverzeichnisse geführt. Der Landesbetrieb Straßenbau führt die Verzeichnisse Landesstraßen, Radschnellverbindungen des Landes und Kreisstraßen. Die Gemeinden führen die Verzeichnisse für die Gemeindestraßen. In die Verzeichnisse sind alle Straßen entsprechend ihrer Zugehörigkeit zu einer Straßengruppe, der Widmungsinhalt, die Träger der Straßenbaulast, die etwa vorhandenen Ortsdurchfahrten, Rastplätze für Kraftfahrzeuge im Straßengüterverkehr im Sinne des § 2 Absatz 2 Nummer 5 sowie die Länge der Straßen einschließlich der Rad- und Gehwege aufzunehmen. Die Gemeindestraßen sollen zusätzlich nach ihrer Bedeutung oder Bestimmung im Sinne von § 3 Abs. 4 Nrn. 1 bis 3 gekennzeichnet werden. Für Straßen nach § 3 Abs. 4 Nr. 1 (Hauptverkehrsstraßen) unterrichten die Gemeinden den Landesbetrieb Straßenbau auf Anfrage über den Bestand. Veränderungen haben die Straßenbaubehörden der verzeichnisführenden Behörde unverzüglich anzuzeigen. Die Einsicht in die Straßenverzeichnisse steht jedermann frei.</w:t>
      </w:r>
    </w:p>
    <w:p>
      <w:r>
        <w:t xml:space="preserve">(2) Die Landesstraßen, Radschnellverbindungen des Landes und Kreisstraßen werden mit Nummern bezeichnet. Die Nummern für die Landesstraßen und Radschnellverbindungen des Landes werden von dem für das Straßenwesen zuständigen Ministerium, die der Kreisstraßen vom Landesbetrieb Straßenbau bestimmt. Die Gemeinden können die öffentlichen Straßen mit einem Namen oder einer Nummer bezeichnen.</w:t>
      </w:r>
    </w:p>
    <w:p>
      <w:r>
        <w:t xml:space="preserve">(3) Das für das Straßenwesen zuständige Ministerium wird ermächtigt, im Einvernehmen mit dem für das amtliche Vermessungswesen zuständigen Ministerium durch Rechtsverordnung Einzelheiten zu den Straßenverzeichnissen zu regeln.</w:t>
      </w:r>
    </w:p>
    <w:p>
      <w:r>
        <w:rPr>
          <w:color w:val="555555"/>
          <w:sz w:val="17"/>
        </w:rPr>
        <w:t xml:space="preserve">Zitiervorschlag: § 4 NW_27058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