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NW_27058 (Nordrhein-Westfalen) — Ermächtigung zu Rechtsverordnungen</w:t>
      </w:r>
    </w:p>
    <w:p>
      <w:r>
        <w:rPr>
          <w:color w:val="555555"/>
          <w:sz w:val="18"/>
        </w:rPr>
        <w:t xml:space="preserve">Straßen- und Wegegesetz des Landes Nordrhein-Westfalen (StrWG NRW);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Das für das Straßenwesen zuständige Ministerium wird ermächtigt, Rechtsverordnungen zu erlassen, durch die</w:t>
      </w:r>
    </w:p>
    <w:p>
      <w:r>
        <w:t xml:space="preserve">1. der Umfang der Kosten nach § 34 näher bestimmt wird;</w:t>
      </w:r>
    </w:p>
    <w:p>
      <w:r>
        <w:t xml:space="preserve">2. bestimmt wird, welche Straßenanlagen zur Kreuzungsanlage und welche Teile der Kreuzungsanlage nach § 35 Abs. 1 und 2 zu der einen oder zu der anderen Straße gehören.</w:t>
      </w:r>
    </w:p>
    <w:p>
      <w:r>
        <w:t xml:space="preserve">(2) Das für das Straßenwesen zuständige Ministerium wird ermächtigt, im Einvernehmen mit dem für die Wasserwirtschaft zuständigen Ministerium Rechtsverordnungen zu erlassen, durch die</w:t>
      </w:r>
    </w:p>
    <w:p>
      <w:r>
        <w:t xml:space="preserve">1. der Umfang der Kosten nach § 35a näher bestimmt wird;</w:t>
      </w:r>
    </w:p>
    <w:p>
      <w:r>
        <w:t xml:space="preserve">2. die Berechnung und die Zahlung von Ablösungsbeträgen nach § 35b Abs. 2 näher bestimmt werden.</w:t>
      </w:r>
    </w:p>
    <w:p>
      <w:r>
        <w:rPr>
          <w:color w:val="555555"/>
          <w:sz w:val="17"/>
        </w:rPr>
        <w:t xml:space="preserve">Zitiervorschlag: § 36 NW_27058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https://recht.nulegal.eu/gesetze/NW_27058/36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