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NW_27058 (Nordrhein-Westfalen) — Kreuzungen und Einmündungen öffentlicher Straßen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Kreuzungen (§§ 34, 35) sind höhengleiche und höhenungleiche Überschneidungen öffentlicher Straßen. Einmündungen öffentlicher Straßen in andere stehen den Kreuzungen gleich. Münden mehrere Straßen an einer Stelle in eine andere Straße ein, so gelten diese Einmündungen als Kreuzung aller beteiligten Straßen.</w:t>
      </w:r>
    </w:p>
    <w:p>
      <w:r>
        <w:t xml:space="preserve">(2) Wird über den Bau neuer sowie über die wesentliche Änderung bestehender Kreuzungen durch Planfeststellung oder Plangenehmigung entschieden, so ist dabei zugleich die Aufteilung der Kosten zu regeln, soweit die beteiligten Baulastträger keine Vereinbarung geschlossen haben.</w:t>
      </w:r>
    </w:p>
    <w:p>
      <w:r>
        <w:rPr>
          <w:color w:val="555555"/>
          <w:sz w:val="17"/>
        </w:rPr>
        <w:t xml:space="preserve">Zitiervorschlag: § 33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