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31 NW_27058 (Nordrhein-Westfalen) — Schutzwald</w:t>
      </w:r>
    </w:p>
    <w:p>
      <w:r>
        <w:rPr>
          <w:color w:val="555555"/>
          <w:sz w:val="18"/>
        </w:rPr>
        <w:t xml:space="preserve">Straßen- und Wegegesetz des Landes Nordrhein-Westfalen (StrWG NRW);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Wald längs der Straße ist auf Antrag der Straßenbaubehörde nach § 49 des Landesforstgesetzes zu Schutzwald zu erklären, soweit dies zum Schutz der Straße gegen nachteilige Einwirkungen der Natur oder im Interesse der Sicherheit des Verkehrs notwendig ist.</w:t>
      </w:r>
    </w:p>
    <w:p>
      <w:r>
        <w:t xml:space="preserve">(2) Die Schutzwalderklärung kann auch erfolgen, um nachteilige Einwirkungen von der Straße auf die benachbarten Grundstücke zu verhindern oder zu mindern.</w:t>
      </w:r>
    </w:p>
    <w:p>
      <w:r>
        <w:t xml:space="preserve">(3) Der Schutzwald ist vom Eigentümer oder Nutzungsberechtigten zu erhalten und den Schutzzwecken entsprechend zu bewirtschaften. Die Überwachung obliegt der Forstbehörde im Benehmen mit der Straßenbaubehörde.</w:t>
      </w:r>
    </w:p>
    <w:p>
      <w:r>
        <w:t xml:space="preserve">(4) Aus den in Absätzen 1 und 2 genannten Gründen können auch Bäume, Sträucher, Hecken und sonstige Feld- und Ufergehölze im Abstand bis zu 40 m vom Straßenkörper zu Schutzwald erklärt werden.</w:t>
      </w:r>
    </w:p>
    <w:p>
      <w:r>
        <w:t xml:space="preserve">(5) Für die Entschädigung der Eigentümer und Nutzungsberechtigten gilt § 51 des Landesforstgesetzes. Entschädigungspflichtig ist der Träger der Straßenbaulast, dessen Straßenbaubehörde die Schutzwalderklärung beantragt hat.</w:t>
      </w:r>
    </w:p>
    <w:p>
      <w:r>
        <w:rPr>
          <w:color w:val="555555"/>
          <w:sz w:val="17"/>
        </w:rPr>
        <w:t xml:space="preserve">Zitiervorschlag: § 31 NW_27058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https://recht.nulegal.eu/gesetze/NW_27058/31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