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NW_27058 (Nordrhein-Westfalen) — Einteilung der öffentlichen Straßen</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öffentlichen Straßen werden nach ihrer Verkehrsbedeutung in folgende Straßengruppen eingeteilt:</w:t>
      </w:r>
    </w:p>
    <w:p>
      <w:r>
        <w:t xml:space="preserve">1. Landesstraßen einschließlich Radschnellverbindungen des Landes,</w:t>
      </w:r>
    </w:p>
    <w:p>
      <w:r>
        <w:t xml:space="preserve">2. Kreisstraßen,</w:t>
      </w:r>
    </w:p>
    <w:p>
      <w:r>
        <w:t xml:space="preserve">3. Gemeindestraßen,</w:t>
      </w:r>
    </w:p>
    <w:p>
      <w:r>
        <w:t xml:space="preserve">4. sonstige öffentliche Straßen.</w:t>
      </w:r>
    </w:p>
    <w:p>
      <w:r>
        <w:t xml:space="preserve">(2) Landesstraßen sind Straßen mit mindestens regionaler Verkehrsbedeutung, die den durchgehenden Verkehrsverbindungen dienen oder zu dienen bestimmt sind; sie sollen untereinander und zusammen mit den Bundesfernstraßen ein zusammenhängendes Netz bilden. Radschnellverbindungen des Landes sind Wege, Straßen oder Teile von diesen, die dem Fahrradverkehr mit eigenständiger regionaler Verkehrsbedeutung zu dienen bestimmt sind; sie sollen untereinander oder mit anderen Radverkehrsverbindungen ein zusammenhängendes Netz bilden. Die Bestimmung von Wegen, Straßen oder Teilen von diesen zur Radschnellverbindung nimmt das für das Straßenwesen zuständige Ministerium im Einvernehmen mit den jeweils als Träger der Straßenbaulast betroffenen Kreisen, kreisfreien Städten und Gemeinden vor.</w:t>
      </w:r>
    </w:p>
    <w:p>
      <w:r>
        <w:t xml:space="preserve">(3) Kreisstraßen sind Straßen mit überörtlicher Verkehrsbedeutung, die den zwischenörtlichen Verkehrsverbindungen dienen oder zu dienen bestimmt sind; sie sollen mindestens einen Anschluss an eine Bundesfernstraße, Landesstraße oder Kreisstraße haben.</w:t>
      </w:r>
    </w:p>
    <w:p>
      <w:r>
        <w:t xml:space="preserve">(4) Gemeindestraßen sind Straßen, die vorwiegend dem Verkehr und der Erschließung innerhalb des Gemeindegebietes dienen oder zu dienen bestimmt sind. Das sind:</w:t>
      </w:r>
    </w:p>
    <w:p>
      <w:r>
        <w:t xml:space="preserve">1. Straßen, bei denen die Belange des Verkehrs überwiegen (Hauptverkehrsstraßen, Zubringerstraßen u. a.);</w:t>
      </w:r>
    </w:p>
    <w:p>
      <w:r>
        <w:t xml:space="preserve">2. Straßen, bei denen die Belange der Erschließung der anliegenden Grundstücke überwiegen (Anliegerstraßen, verkehrsberuhigte Bereiche, Fußgängerbereiche u. a.);</w:t>
      </w:r>
    </w:p>
    <w:p>
      <w:r>
        <w:t xml:space="preserve">3. alle sonstigen nicht unter 1. und 2. fallenden Straßen, die von der Gemeinde für den öffentlichen Verkehr gewidmet sind.</w:t>
      </w:r>
    </w:p>
    <w:p>
      <w:r>
        <w:t xml:space="preserve">(5) Sonstige öffentliche Straßen sind alle dem öffentlichen Verkehr gewidmeten Straßen, welche keiner anderen Straßengruppe angehören. Zu den sonstigen öffentlichen Straßen gehören insbesondere Rad- und Gehwege, soweit sie nicht nach § 2 Absatz 2 Nummer 1 Buchstabe c zu einer Straße gehören (selbständige Rad- und Gehwege), und die Eigentümerstraßen und -wege.</w:t>
      </w:r>
    </w:p>
    <w:p>
      <w:r>
        <w:rPr>
          <w:color w:val="555555"/>
          <w:sz w:val="17"/>
        </w:rPr>
        <w:t xml:space="preserve">Zitiervorschlag: § 3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