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NW_27058 (Nordrhein-Westfalen) — Anlagen der Außenwerbung</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Anlagen der Außenwerbung dürfen außerhalb der Ortsdurchfahrten von Landesstraßen, Radschnellverbindungen des Landes und Kreisstraßen in einer Entfernung bis zu 20 m, gemessen vom äußeren Rand der für den Kraftfahrzeugverkehr, bei einer Radschnellverbindung des Landes der für den Fahrradverkehr bestimmten Fahrbahn, nicht errichtet werden. Im übrigen stehen sie den baulichen Anlagen des § 25 Abs. 1 und des § 27 gleich. Für nichtamtliche Hinweiszeichen bis zu einer Größe von 1 m2 und für Anlagen gemäß § 13 Abs. 3 Nrn. 1 und 2 der Landesbauordnung und für Werbeanlagen an Fahrgastunterständen des öffentlichen Personenverkehrs oder der Schülerbeförderung soll die Straßenbaubehörde Ausnahmen vom Verbot des Satzes 1 zulassen, wenn eine konkrete Beeinträchtigung der Sicherheit oder Leichtigkeit des Verkehrs nicht zu erwarten ist. Ausnahmen können mit Bedingungen und Auflagen versehen werden. Für Anlagen nach Satz 3, die einer Baugenehmigung bedürfen, darf die Baugenehmigung nur mit vorheriger Zustimmung der Straßenbaubehörde erteilt werden.</w:t>
      </w:r>
    </w:p>
    <w:p>
      <w:r>
        <w:t xml:space="preserve">(2) An und auf Brücken über Landesstraßen, Radschnellverbindungen des Landes und Kreisstraßen außerhalb der Ortsdurchfahrten dürfen Anlagen der Außenwerbung nicht angebracht oder aufgestellt werden.</w:t>
      </w:r>
    </w:p>
    <w:p>
      <w:r>
        <w:t xml:space="preserve">(3) Weitergehende bundes- oder landesrechtliche Vorschriften bleiben unberührt.</w:t>
      </w:r>
    </w:p>
    <w:p>
      <w:r>
        <w:rPr>
          <w:color w:val="555555"/>
          <w:sz w:val="17"/>
        </w:rPr>
        <w:t xml:space="preserve">Zitiervorschlag: § 28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