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NW_27058 (Nordrhein-Westfalen) — Freihaltung der Sicht bei Kreuzungenund Einmündungen</w:t>
      </w:r>
    </w:p>
    <w:p>
      <w:r>
        <w:rPr>
          <w:color w:val="555555"/>
          <w:sz w:val="18"/>
        </w:rPr>
        <w:t xml:space="preserve">Straßen- und Wegegesetz des Landes Nordrhein-Westfalen (StrWG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Bauliche Anlagen jeder Art dürfen außerhalb der Ortsdurchfahrten nicht errichtet oder geändert werden, wenn dadurch die Sicht bei höhengleichen Kreuzungen von Straßen oder von Straßen mit dem öffentlichen Verkehr dienenden Schienenbahnen behindert und die Verkehrssicherheit beeinträchtigt wird. Das gleiche gilt auch für die höhengleichen Einmündungen von Straßen.</w:t>
      </w:r>
    </w:p>
    <w:p>
      <w:r>
        <w:t xml:space="preserve">(2) § 26 ist entsprechend anzuwenden.</w:t>
      </w:r>
    </w:p>
    <w:p>
      <w:r>
        <w:rPr>
          <w:color w:val="555555"/>
          <w:sz w:val="17"/>
        </w:rPr>
        <w:t xml:space="preserve">Zitiervorschlag: § 27 NW_27058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https://recht.nulegal.eu/gesetze/NW_27058/27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