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NW_27058 (Nordrhein-Westfalen) — Enteignungsbeschränkung</w:t>
      </w:r>
    </w:p>
    <w:p>
      <w:r>
        <w:rPr>
          <w:color w:val="555555"/>
          <w:sz w:val="18"/>
        </w:rPr>
        <w:t xml:space="preserve">Straßen- und Wegegesetz des Landes Nordrhein-Westfalen (StrWG NRW);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Enteignung einer Straße ist nur insoweit zulässig, als die mit der Enteignung angestrebte Benutzung weder im Widerspruch zur Widmung steht noch den Bestand der Straße beeinträchtigt.</w:t>
      </w:r>
    </w:p>
    <w:p>
      <w:r>
        <w:rPr>
          <w:color w:val="555555"/>
          <w:sz w:val="17"/>
        </w:rPr>
        <w:t xml:space="preserve">Zitiervorschlag: § 24 NW_27058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https://recht.nulegal.eu/gesetze/NW_27058/24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