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22 NW_27058 (Nordrhein-Westfalen) — Unerlaubte Benutzung einer Straße</w:t>
      </w:r>
    </w:p>
    <w:p>
      <w:r>
        <w:rPr>
          <w:color w:val="555555"/>
          <w:sz w:val="18"/>
        </w:rPr>
        <w:t xml:space="preserve">Straßen- und Wegegesetz des Landes Nordrhein-Westfalen (StrWG NRW);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Werden Fahrzeuge verbotswidrig abgestellt oder wird sonst eine Straße ohne die erforderliche Erlaubnis benutzt oder kommt der Erlaubnisnehmer seinen Verpflichtungen nicht nach, so kann die für die Erteilung der Sondernutzungserlaubnis zuständige Behörde die erforderlichen Maßnahmen zur Beendigung der Benutzung oder zur Erfüllung der Auflagen anordnen. Sind solche Anordnungen nicht oder nur unter unverhältnismäßigem Aufwand möglich oder nicht erfolgversprechend, so kann sie den rechtswidrigen Zustand auf Kosten des Pflichtigen beseitigen oder beseitigen lassen.</w:t>
      </w:r>
    </w:p>
    <w:p>
      <w:r>
        <w:t xml:space="preserve">(2) Die für die Erteilung der Sondernutzungserlaubnis zuständige Behörde kann von der Straße entfernte Gegenstände bis zur Erstattung ihrer Aufwendungen zurückbehalten.</w:t>
      </w:r>
    </w:p>
    <w:p>
      <w:r>
        <w:t xml:space="preserve">(3) Ist der Eigentümer oder Halter der von der Straße entfernten Gegenstände innerhalb angemessener Frist nicht zu ermitteln oder kommt er seinen Zahlungspflichten innerhalb von zwei Monaten nach Zahlungsaufforderung nicht nach oder holt er die Gegenstände innerhalb einer ihm schriftlich gestellten angemessenen Frist nicht ab, so sind die Gegenstände auf Antrag der für die Erteilung der Sondernutzungserlaubnis zuständigen Behörde von der örtlichen Ordnungsbehörde zu verwerten. In der Aufforderung zur Zahlung oder Abholung ist auf die Möglichkeit der Verwertung hinzuweisen. Im Übrigen ist § 45 des Polizeigesetzes des Landes Nordrhein-Westfalen in der Fassung der Bekanntmachung vom 25. Juli 2003 (GV. NRW. S. 441), das zuletzt durch Artikel 1 des Gesetzes vom 19. Dezember 2019 (GV. NRW. S. 995) geändert worden ist, entsprechend anwendbar.</w:t>
      </w:r>
    </w:p>
    <w:p>
      <w:r>
        <w:t xml:space="preserve">(4) Die Absätze 2 und 3 gelten auch für Bundesstraßen.</w:t>
      </w:r>
    </w:p>
    <w:p>
      <w:r>
        <w:t xml:space="preserve">(5) Zu Maßnahmen nach den Absätzen 1, 2 und 4 ist auch die örtliche Ordnungsbehörde befugt.</w:t>
      </w:r>
    </w:p>
    <w:p>
      <w:r>
        <w:t xml:space="preserve">(6) Die Befugnisse nach anderen Rechtsvorschriften bleiben unberührt.</w:t>
      </w:r>
    </w:p>
    <w:p>
      <w:r>
        <w:rPr>
          <w:color w:val="555555"/>
          <w:sz w:val="17"/>
        </w:rPr>
        <w:t xml:space="preserve">Zitiervorschlag: § 22 NW_27058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https://recht.nulegal.eu/gesetze/NW_27058/22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22 NW_27058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