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NW_27058 (Nordrhein-Westfalen) — Straßenanlieger, Zufahrten, Zugänge</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Zufahrten sind die für die Benutzung mit Fahrzeugen bestimmten Verbindungen von anliegenden Grundstücken und von nicht öffentlichen Wegen mit Straßen. Die Anlage neuer oder die wesentliche Änderung bestehender Zufahrten oder Zugänge zu einer Landesstraße, einer Radschnellverbindung des Landes oder einer Kreisstraße außerhalb von Ortsdurchfahrten gilt als Sondernutzung. Dies gilt auch, wenn eine Zufahrt oder ein Zugang gegenüber dem bisherigen Zustand einem wesentlich größeren oder andersartigen Verkehr dienen soll.</w:t>
      </w:r>
    </w:p>
    <w:p>
      <w:r>
        <w:t xml:space="preserve">(2) § 18 Abs. 4 findet mit der Maßgabe Anwendung, daß die Straßenbaubehörde von dem Erlaubnisnehmer alle Maßnahmen hinsichtlich der örtlichen Lage, der Art und Ausgestaltung der Zufahrt oder des Zugangs verlangen kann, die aus Gründen der Sicherheit oder Leichtigkeit des Verkehrs erforderlich sind.</w:t>
      </w:r>
    </w:p>
    <w:p>
      <w:r>
        <w:t xml:space="preserve">(3) Einer Erlaubnis nach § 18 bedarf es nicht,</w:t>
      </w:r>
    </w:p>
    <w:p>
      <w:r>
        <w:t xml:space="preserve">a) wenn Zufahrten oder Zugänge zu baulichen Anlagen geschaffen oder geändert werden, für welche eine Zustimmung oder Genehmigung nach § 25 erteilt wird oder als erteilt gilt;</w:t>
      </w:r>
    </w:p>
    <w:p>
      <w:r>
        <w:t xml:space="preserve">b) wenn der Bau oder die Änderung von Zufahrten oder Zugängen in einem Flurbereinigungsverfahren oder in einem anderen förmlichen Verfahren unanfechtbar angeordnet ist.</w:t>
      </w:r>
    </w:p>
    <w:p>
      <w:r>
        <w:t xml:space="preserve">(4) Für die Unterhaltung der Zufahrten und Zugänge, die nicht auf einer Erlaubnis nach § 18 beruhen, gelten § 18 Abs. 4 Sätze 1 und 2 sowie § 22 entsprechend.</w:t>
      </w:r>
    </w:p>
    <w:p>
      <w:r>
        <w:t xml:space="preserve">(5) Werden durch die Änderung oder Einziehung einer Straße Zufahrten oder Zugänge zu Grundstücken auf Dauer unterbrochen oder wird die Benutzung erheblich erschwert, so hat der Träger der Straßenbaulast einen angemessenen Ersatz zu schaffen oder, soweit dies nicht zumutbar ist, eine angemessene Entschädigung in Geld zu leisten. Mehrere Anliegergrundstücke können durch eine gemeinsame Zufahrt angeschlossen werden, deren Unterhaltung nach Absatz 4 den Anliegern gemeinsam obliegt. Die Verpflichtung nach Satz 1 entsteht nicht, wenn die Grundstücke eine anderweitige ausreichende Verbindung zu dem öffentlichen Straßennetz besitzen oder wenn die Zufahrten oder Zugänge auf einer widerruflichen Erlaubnis beruhen. § 42 Abs. 2 findet Anwendung.</w:t>
      </w:r>
    </w:p>
    <w:p>
      <w:r>
        <w:t xml:space="preserve">(6) Werden durch Straßenarbeiten Zufahrten oder Zugänge für längere Zeit unterbrochen oder wird ihre Benutzung erheblich erschwert, ohne daß von Behelfsmaßnahmen eine wesentliche Entlastung ausgeht, und wird dadurch die wirtschaftliche Existenz eines anliegenden Betriebes gefährdet, so kann dessen Inhaber eine Entschädigung in Höhe des Betrages beanspruchen, der erforderlich ist, um das Fortbestehen des Betriebes bei Anspannung der eigenen Kräfte und unter Berücksichtigung der gegebenen Anpassungsmöglichkeiten zu sichern. Der Anspruch richtet sich gegen den, zu dessen Gunsten die Arbeiten im Straßenbereich erfolgen. Beruhen Zufahrten oder Zugänge auf einer widerruflichen Erlaubnis, so besteht kein Anspruch. Absatz 5 Sätze 3 und 4 gelten entsprechend.</w:t>
      </w:r>
    </w:p>
    <w:p>
      <w:r>
        <w:t xml:space="preserve">(7) Soweit es die Sicherheit oder Leichtigkeit des Verkehrs erfordert, kann die Straßenbaubehörde nach Anhörung der Betroffenen anordnen, daß Zufahrten oder Zugänge geändert oder verlegt oder, wenn das Grundstück eine anderweitige ausreichende Verbindung zu dem öffentlichen Straßennetz besitzt, geschlossen werden. Absatz 5 gilt entsprechend. Die Befugnis zum Widerruf einer Erlaubnis nach § 18 Abs. 2 bleibt unberührt.</w:t>
      </w:r>
    </w:p>
    <w:p>
      <w:r>
        <w:t xml:space="preserve">(8) Wird durch den Bau oder die Änderung einer Straße der Zutritt von Licht oder Luft zu einem Grundstück auf Dauer entzogen oder erheblich beeinträchtigt, hat der Träger der Straßenbaulast für dadurch entstehende Vermögensnachteile eine angemessene Entschädigung in Geld zu leisten. § 42 Abs. 2 findet Anwendung.</w:t>
      </w:r>
    </w:p>
    <w:p>
      <w:r>
        <w:t xml:space="preserve">(9) Hat der Entschädigungsberechtigte die Entstehung eines Vermögensschadens mitverursacht, so gilt § 254 des Bürgerlichen Gesetzbuches entsprechend.</w:t>
      </w:r>
    </w:p>
    <w:p>
      <w:r>
        <w:rPr>
          <w:color w:val="555555"/>
          <w:sz w:val="17"/>
        </w:rPr>
        <w:t xml:space="preserve">Zitiervorschlag: § 20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