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NW_27058 (Nordrhein-Westfalen) — Gemeingebrauch</w:t>
      </w:r>
    </w:p>
    <w:p>
      <w:r>
        <w:rPr>
          <w:color w:val="555555"/>
          <w:sz w:val="18"/>
        </w:rPr>
        <w:t xml:space="preserve">Straßen- und Wegegesetz des Landes Nordrhein-Westfalen (StrWG NRW);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Gebrauch der öffentlichen Straßen ist jedermann im Rahmen der Widmung und der verkehrsrechtlichen Vorschriften gestattet (Gemeingebrauch). Auf die Aufrechterhaltung des Gemeingebrauchs besteht kein Rechtsanspruch.</w:t>
      </w:r>
    </w:p>
    <w:p>
      <w:r>
        <w:t xml:space="preserve">(2) Im Rahmen des Gemeingebrauchs hat der fließende Verkehr einschließlich des fließenden Radverkehrs den Vorrang vor dem ruhenden, soweit sich aus der Widmung der Straße und dem Straßenverkehrsrecht nichts anderes ergibt.</w:t>
      </w:r>
    </w:p>
    <w:p>
      <w:r>
        <w:t xml:space="preserve">(3) Kein Gemeingebrauch liegt vor, wenn die Straße nicht vorwiegend zu dem Verkehr benutzt wird, dem sie zu dienen bestimmt ist. Der Straßenanliegergebrauch (§ 14a) bleibt unberührt.</w:t>
      </w:r>
    </w:p>
    <w:p>
      <w:r>
        <w:t xml:space="preserve">(4) Die Erhebung von Gebühren für die Ausübung des Gemeingebrauchs bedarf einer besonderen gesetzlichen Regelung.</w:t>
      </w:r>
    </w:p>
    <w:p>
      <w:r>
        <w:rPr>
          <w:color w:val="555555"/>
          <w:sz w:val="17"/>
        </w:rPr>
        <w:t xml:space="preserve">Zitiervorschlag: § 14 NW_27058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https://recht.nulegal.eu/gesetze/NW_27058/14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