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NW_27058 (Nordrhein-Westfalen) — Grundbuchberichtigung und Vermessung</w:t>
      </w:r>
    </w:p>
    <w:p>
      <w:r>
        <w:rPr>
          <w:color w:val="555555"/>
          <w:sz w:val="18"/>
        </w:rPr>
        <w:t xml:space="preserve">Straßen- und Wegegesetz des Landes Nordrhein-Westfalen (StrWG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Beim Übergang des Eigentums nach § 10 Abs. 1 ist der Antrag auf Berichtigung des Grundbuchs von der Straßenbaubehörde des neuen Trägers der Straßenbaulast zu stellen. Der Antrag muß vom Leiter der Behörde oder seinem Vertreter unterschrieben und mit dem Dienstsiegel oder Dienststempel versehen sein. Zum Nachweis des Eigentums gegenüber dem Grundbuchamt genügt die in den Antrag aufzunehmende Erklärung, daß das Grundstück dem neuen Träger der Straßenbaulast gehört.</w:t>
      </w:r>
    </w:p>
    <w:p>
      <w:r>
        <w:t xml:space="preserve">(2) Die Kosten der Vermessung und Vermarkung eines nach § 10 Abs. 1 übergehenden Grundstücks hat der neue Träger der Straßenbaulast zu tragen.</w:t>
      </w:r>
    </w:p>
    <w:p>
      <w:r>
        <w:t xml:space="preserve">(3) Wird das Eigentum nach § 12 Abs. 1 zurückübertragen, so hat der bisherige Träger der Straßenbaulast die Kosten für die Vermessung, die Vermarkung und Beurkundung zu tragen.</w:t>
      </w:r>
    </w:p>
    <w:p>
      <w:r>
        <w:t xml:space="preserve">(4) Für die Eintragung des Eigentumsübergangs in das Grundbuch werden in den Fällen des § 10 Absatz 1 oder des § 12 Absatz 1 Kosten nach dem Gerichts- und Notarkostengesetz vom 23. Juli 2013 (BGBl. I S. 2586), das zuletzt durch Artikel 4 des Gesetzes vom 23.November 2015 (BGBl. I S. 2090) geändert worden ist, nicht erhoben.</w:t>
      </w:r>
    </w:p>
    <w:p>
      <w:r>
        <w:rPr>
          <w:color w:val="555555"/>
          <w:sz w:val="17"/>
        </w:rPr>
        <w:t xml:space="preserve">Zitiervorschlag: § 13 NW_27058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https://recht.nulegal.eu/gesetze/NW_27058/13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