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NW_27058 (Nordrhein-Westfalen) — Wechsel der Straßenbaulast</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Beim Wechsel der Straßenbaulast gehen das Eigentum des bisherigen Trägers der Straßenbaulast an der Straße sowie alle Rechte und Pflichten, die mit der Straße im Zusammenhang stehen, entschädigungslos auf den neuen Träger der Straßenbaulast über, soweit das Eigentum bisher bereits dem Land, einer Gemeinde oder einem Gemeindeverband zustand.</w:t>
      </w:r>
    </w:p>
    <w:p>
      <w:r>
        <w:t xml:space="preserve">(2) Absatz 1 gilt nicht für</w:t>
      </w:r>
    </w:p>
    <w:p>
      <w:r>
        <w:t xml:space="preserve">1. das Eigentum an Nebenanlagen (§ 2 Abs. 2 Nr. 4);</w:t>
      </w:r>
    </w:p>
    <w:p>
      <w:r>
        <w:t xml:space="preserve">2. das Eigentum an Leitungen, die der bisherige Träger der Straßenbaulast für Zwecke der öffentlichen Ver- und Entsorgung in die Straße verlegt hat;</w:t>
      </w:r>
    </w:p>
    <w:p>
      <w:r>
        <w:t xml:space="preserve">3. Rechte und Pflichten des bisherigen Trägers der Straßenbaulast aus Gebietsversorgungsverträgen;</w:t>
      </w:r>
    </w:p>
    <w:p>
      <w:r>
        <w:t xml:space="preserve">4. Verbindlichkeiten des bisherigen Trägers der Straßenbaulast aus der Durchführung früherer Bau- und Unterhaltungsmaßnahmen.</w:t>
      </w:r>
    </w:p>
    <w:p>
      <w:r>
        <w:t xml:space="preserve">(3) Hat der bisherige Eigentümer berechtigterweise besondere Anlagen in der Straße gehalten, so ist der neue Eigentümer verpflichtet, diese in dem bisherigen Umfang zu dulden. § 18 Abs. 3 und 4 und § 16 gelten entsprechend.</w:t>
      </w:r>
    </w:p>
    <w:p>
      <w:r>
        <w:t xml:space="preserve">(4) Der bisherige Träger der Straßenbaulast hat dem neuen Träger der Straßenbaulast dafür einzustehen, daß sich die Straße in dem durch die bisherige Straßengruppe gebotenen Umfang in einem der Verkehrssicherheit und der ordnungsgemäßen Unterhaltung entsprechenden Zustand befindet und er den notwendigen Grunderwerb durchgeführt hat. Ist eine abzustufende Straße nicht ordnungsgemäß ausgebaut, so hat er dafür nur insoweit einzustehen, als der Ausbauzustand hinter den Anforderungen der künftigen Straßengruppe zurückbleibt.</w:t>
      </w:r>
    </w:p>
    <w:p>
      <w:r>
        <w:t xml:space="preserve">(5) Hat der bisherige Träger der Straßenbaulast für den Bau oder die Änderung der Straße das Eigentum an einem Grundstück erworben, so hat der neue Träger der Straßenbaulast einen Anspruch auf Übertragung des Eigentums. Steht dem bisherigen Träger der Straßenbaulast ein für Zwecke des Satzes 1 erworbener Anspruch auf Übertragung des Eigentums an einem Grundstück zu, so ist er verpflichtet, das Eigentum an dem Grundstück zu erwerben und nach Erwerb auf den neuen Träger der Straßenbaulast zu übertragen. Die Verpflichtungen nach den Sätzen 1 und 2 bestehen nur insoweit, als das Grundstück dauernd für die Straße benötigt wird. Dem bisherigen Träger der Straßenbaulast steht für Verbindlichkeiten, die nach dem Wechsel der Straßenbaulast fällig werden, gegen den neuen Träger der Straßenbaulast ein Anspruch auf Erstattung der Aufwendungen zu. Im übrigenwird das Eigentum ohne Entschädigung übertragen.</w:t>
      </w:r>
    </w:p>
    <w:p>
      <w:r>
        <w:rPr>
          <w:color w:val="555555"/>
          <w:sz w:val="17"/>
        </w:rPr>
        <w:t xml:space="preserve">Zitiervorschlag: § 10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