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NW_27057 (Nordrhein-Westfalen)</w:t>
      </w:r>
    </w:p>
    <w:p>
      <w:r>
        <w:rPr>
          <w:color w:val="555555"/>
          <w:sz w:val="18"/>
        </w:rPr>
        <w:t xml:space="preserve">Gesetz über den Bedarf und die Ausbauplanung der Landesstraßen (Landesstraßenausbaugesetz - LStrAusbauG);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das Straßenwesen zuständige Ministerium berichtet dem Landtag jährlich über den Fortgang bei der Planung, dem Bau und der Unterhaltung der Landesstraßen nach dem Stand vom 31. Dezember des Vorjahres.</w:t>
      </w:r>
    </w:p>
    <w:p>
      <w:r>
        <w:rPr>
          <w:color w:val="555555"/>
          <w:sz w:val="17"/>
        </w:rPr>
        <w:t xml:space="preserve">Zitiervorschlag: § 7 NW_27057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