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NW_27051 (Nordrhein-Westfalen) — In-Kraft-Treten, Berichtspflicht</w:t>
      </w:r>
    </w:p>
    <w:p>
      <w:r>
        <w:rPr>
          <w:color w:val="555555"/>
          <w:sz w:val="18"/>
        </w:rPr>
        <w:t xml:space="preserve">Verordnung über Zuständigkeiten nach dem Gesetz über die Alterssicherung der Landwirte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Über die Erfahrungen mit dieser Verordnung ist der Landesregierung bis zum 31. Dezember 2011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</w:t>
      </w:r>
    </w:p>
    <w:p>
      <w:r>
        <w:rPr>
          <w:color w:val="555555"/>
          <w:sz w:val="17"/>
        </w:rPr>
        <w:t xml:space="preserve">Zitiervorschlag: § 2 NW_27051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